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F968" w14:textId="564AFD56" w:rsidR="00350FA4" w:rsidRPr="00C32803" w:rsidRDefault="008773C2" w:rsidP="008773C2">
      <w:pPr>
        <w:pStyle w:val="BWCNormal"/>
        <w:spacing w:line="240" w:lineRule="auto"/>
        <w:ind w:left="576" w:hanging="576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Hlk66873221"/>
      <w:bookmarkStart w:id="1" w:name="_Hlk66965006"/>
      <w:r w:rsidRPr="00C32803">
        <w:rPr>
          <w:rFonts w:ascii="Tahoma" w:hAnsi="Tahoma" w:cs="Tahoma"/>
          <w:b/>
          <w:bCs/>
          <w:sz w:val="28"/>
          <w:szCs w:val="28"/>
        </w:rPr>
        <w:t>THE UNIVERSAL HOUSE OF JUSTICE</w:t>
      </w:r>
    </w:p>
    <w:p w14:paraId="55C57613" w14:textId="77777777" w:rsidR="008773C2" w:rsidRPr="00C32803" w:rsidRDefault="008773C2" w:rsidP="002A6217">
      <w:pPr>
        <w:pStyle w:val="BWCNormal"/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330F7755" w14:textId="6947FC59" w:rsidR="00350FA4" w:rsidRPr="00C32803" w:rsidRDefault="008174DF" w:rsidP="002A6217">
      <w:pPr>
        <w:pStyle w:val="BWCDate"/>
        <w:spacing w:after="0" w:line="240" w:lineRule="auto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Riḍván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2021</w:t>
      </w:r>
    </w:p>
    <w:p w14:paraId="73578CD8" w14:textId="77777777" w:rsidR="00AD07FA" w:rsidRPr="00C32803" w:rsidRDefault="00AD07FA" w:rsidP="002A6217">
      <w:pPr>
        <w:pStyle w:val="BWCNormal"/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747C9427" w14:textId="77777777" w:rsidR="006D707D" w:rsidRPr="00C32803" w:rsidRDefault="006D707D" w:rsidP="002A6217">
      <w:pPr>
        <w:pStyle w:val="BWCNormal"/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6A4CA19D" w14:textId="0FA9AA8A" w:rsidR="00350FA4" w:rsidRPr="00C32803" w:rsidRDefault="008174DF" w:rsidP="002A6217">
      <w:pPr>
        <w:pStyle w:val="BWCAddress"/>
        <w:spacing w:line="240" w:lineRule="auto"/>
        <w:jc w:val="both"/>
        <w:rPr>
          <w:rFonts w:ascii="Tahoma" w:hAnsi="Tahoma" w:cs="Tahoma"/>
          <w:sz w:val="28"/>
          <w:szCs w:val="28"/>
        </w:rPr>
      </w:pPr>
      <w:bookmarkStart w:id="2" w:name="zAddrTo"/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bookmarkEnd w:id="2"/>
    </w:p>
    <w:p w14:paraId="11213890" w14:textId="77777777" w:rsidR="002A6217" w:rsidRPr="00C32803" w:rsidRDefault="002A6217" w:rsidP="002A6217">
      <w:pPr>
        <w:pStyle w:val="BWCAddress"/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18E0F135" w14:textId="669A6AE1" w:rsidR="00350FA4" w:rsidRPr="00C32803" w:rsidRDefault="008174DF" w:rsidP="002A6217">
      <w:pPr>
        <w:pStyle w:val="BWCGreeting"/>
        <w:spacing w:before="0" w:after="0" w:line="240" w:lineRule="auto"/>
        <w:jc w:val="both"/>
        <w:rPr>
          <w:rFonts w:ascii="Tahoma" w:hAnsi="Tahoma" w:cs="Tahoma"/>
          <w:sz w:val="28"/>
          <w:szCs w:val="28"/>
        </w:rPr>
      </w:pPr>
      <w:bookmarkStart w:id="3" w:name="zGreeting"/>
      <w:r w:rsidRPr="00C32803">
        <w:rPr>
          <w:rFonts w:ascii="Tahoma" w:hAnsi="Tahoma" w:cs="Tahoma"/>
          <w:sz w:val="28"/>
          <w:szCs w:val="28"/>
        </w:rPr>
        <w:t>Dearly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loved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Friends,</w:t>
      </w:r>
      <w:bookmarkEnd w:id="3"/>
    </w:p>
    <w:p w14:paraId="65096E99" w14:textId="77777777" w:rsidR="002A6217" w:rsidRPr="00C32803" w:rsidRDefault="002A6217" w:rsidP="002A6217">
      <w:pPr>
        <w:rPr>
          <w:rFonts w:ascii="Tahoma" w:hAnsi="Tahoma" w:cs="Tahoma"/>
          <w:sz w:val="28"/>
          <w:szCs w:val="28"/>
        </w:rPr>
      </w:pPr>
    </w:p>
    <w:p w14:paraId="3C20A66C" w14:textId="77777777" w:rsidR="002A6217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bookmarkStart w:id="4" w:name="_Hlk68111720"/>
      <w:bookmarkEnd w:id="0"/>
      <w:bookmarkEnd w:id="1"/>
      <w:r w:rsidRPr="00C32803">
        <w:rPr>
          <w:rFonts w:ascii="Tahoma" w:hAnsi="Tahoma" w:cs="Tahoma"/>
          <w:sz w:val="28"/>
          <w:szCs w:val="28"/>
        </w:rPr>
        <w:t>1</w:t>
      </w:r>
    </w:p>
    <w:p w14:paraId="3AABEEB8" w14:textId="4F47BCDB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memorable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chapter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history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Cause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8796A" w:rsidRPr="00C32803">
        <w:rPr>
          <w:rFonts w:ascii="Tahoma" w:hAnsi="Tahoma" w:cs="Tahoma"/>
          <w:sz w:val="28"/>
          <w:szCs w:val="28"/>
        </w:rPr>
        <w:t>now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written,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turns.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Riḍván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marks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conclusion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extraordinary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Five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entire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series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began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1996.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series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beckons,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promises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momentous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twelve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months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serving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prelude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nine-year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effort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due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next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Riḍván.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before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rapidly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gained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strength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ready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take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great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strides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forward.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But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must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illusions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about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B64FE" w:rsidRPr="00C32803">
        <w:rPr>
          <w:rFonts w:ascii="Tahoma" w:hAnsi="Tahoma" w:cs="Tahoma"/>
          <w:sz w:val="28"/>
          <w:szCs w:val="28"/>
        </w:rPr>
        <w:t>how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B64FE" w:rsidRPr="00C32803">
        <w:rPr>
          <w:rFonts w:ascii="Tahoma" w:hAnsi="Tahoma" w:cs="Tahoma"/>
          <w:sz w:val="28"/>
          <w:szCs w:val="28"/>
        </w:rPr>
        <w:t>much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striving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required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reach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point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B64FE" w:rsidRPr="00C32803">
        <w:rPr>
          <w:rFonts w:ascii="Tahoma" w:hAnsi="Tahoma" w:cs="Tahoma"/>
          <w:sz w:val="28"/>
          <w:szCs w:val="28"/>
        </w:rPr>
        <w:t>how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hard-won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B64FE"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B64FE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insights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acquired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along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way: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lessons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learned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shape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community’s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future,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account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learned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sheds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light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come.</w:t>
      </w:r>
    </w:p>
    <w:p w14:paraId="70F1E108" w14:textId="4B9D43D1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6B3F86CF" w14:textId="3638D474" w:rsidR="002A6217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2</w:t>
      </w:r>
    </w:p>
    <w:p w14:paraId="0A52E818" w14:textId="6E79B28D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decades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leading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up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1996,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advances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insights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own,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left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doubt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large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numbers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people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societies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ready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under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banner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Yet,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encouraging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instances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large-scale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enrolment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B64FE" w:rsidRPr="00C32803">
        <w:rPr>
          <w:rFonts w:ascii="Tahoma" w:hAnsi="Tahoma" w:cs="Tahoma"/>
          <w:sz w:val="28"/>
          <w:szCs w:val="28"/>
        </w:rPr>
        <w:t>equate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B64FE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sustainable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6550D" w:rsidRPr="00C32803">
        <w:rPr>
          <w:rFonts w:ascii="Tahoma" w:hAnsi="Tahoma" w:cs="Tahoma"/>
          <w:sz w:val="28"/>
          <w:szCs w:val="28"/>
        </w:rPr>
        <w:t>cultivated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diverse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settings.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Profound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questions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faced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83458A" w:rsidRPr="00C32803">
        <w:rPr>
          <w:rFonts w:ascii="Tahoma" w:hAnsi="Tahoma" w:cs="Tahoma"/>
          <w:sz w:val="28"/>
          <w:szCs w:val="28"/>
        </w:rPr>
        <w:t>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time</w:t>
      </w:r>
      <w:r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insufficient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experience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answer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adequately.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How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efforts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aimed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expansion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proceed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consolidation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resolve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8796A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long</w:t>
      </w:r>
      <w:r w:rsidR="00CF20B4" w:rsidRPr="00C32803">
        <w:rPr>
          <w:rFonts w:ascii="Tahoma" w:hAnsi="Tahoma" w:cs="Tahoma"/>
          <w:sz w:val="28"/>
          <w:szCs w:val="28"/>
        </w:rPr>
        <w:t>-</w:t>
      </w:r>
      <w:r w:rsidRPr="00C32803">
        <w:rPr>
          <w:rFonts w:ascii="Tahoma" w:hAnsi="Tahoma" w:cs="Tahoma"/>
          <w:sz w:val="28"/>
          <w:szCs w:val="28"/>
        </w:rPr>
        <w:t>standing,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seemingly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intractable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challenge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8796A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8796A" w:rsidRPr="00C32803">
        <w:rPr>
          <w:rFonts w:ascii="Tahoma" w:hAnsi="Tahoma" w:cs="Tahoma"/>
          <w:sz w:val="28"/>
          <w:szCs w:val="28"/>
        </w:rPr>
        <w:t>sustaining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8796A" w:rsidRPr="00C32803">
        <w:rPr>
          <w:rFonts w:ascii="Tahoma" w:hAnsi="Tahoma" w:cs="Tahoma"/>
          <w:sz w:val="28"/>
          <w:szCs w:val="28"/>
        </w:rPr>
        <w:t>growth</w:t>
      </w:r>
      <w:r w:rsidRPr="00C32803">
        <w:rPr>
          <w:rFonts w:ascii="Tahoma" w:hAnsi="Tahoma" w:cs="Tahoma"/>
          <w:sz w:val="28"/>
          <w:szCs w:val="28"/>
        </w:rPr>
        <w:t>?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How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individuals,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institutions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raised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up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F20B4" w:rsidRPr="00C32803">
        <w:rPr>
          <w:rFonts w:ascii="Tahoma" w:hAnsi="Tahoma" w:cs="Tahoma"/>
          <w:sz w:val="28"/>
          <w:szCs w:val="28"/>
        </w:rPr>
        <w:t>would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F20B4"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capable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translating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Bahá’u’lláh’s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teachings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action?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attracted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teachings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become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protagonists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global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spiritual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enterprise?</w:t>
      </w:r>
    </w:p>
    <w:p w14:paraId="299EA1AF" w14:textId="3D3B3A83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24407B4C" w14:textId="58C6E5EE" w:rsidR="002A6217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3</w:t>
      </w:r>
    </w:p>
    <w:p w14:paraId="45AD7C8F" w14:textId="6865D71A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proofErr w:type="gramStart"/>
      <w:r w:rsidRPr="00C32803">
        <w:rPr>
          <w:rFonts w:ascii="Tahoma" w:hAnsi="Tahoma" w:cs="Tahoma"/>
          <w:sz w:val="28"/>
          <w:szCs w:val="28"/>
        </w:rPr>
        <w:t>So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quarter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century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ago,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still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three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Hands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Cause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God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ranks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embarked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Four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distinguished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before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focus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single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aim: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significant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advance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entry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troops.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aim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define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series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followed.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already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lastRenderedPageBreak/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understand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just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entry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sizeable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groups,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emerge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spontaneously</w:t>
      </w:r>
      <w:r w:rsidR="00141AA2" w:rsidRPr="00C32803">
        <w:rPr>
          <w:rFonts w:ascii="Tahoma" w:hAnsi="Tahoma" w:cs="Tahoma"/>
          <w:sz w:val="28"/>
          <w:szCs w:val="28"/>
        </w:rPr>
        <w:t>;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implied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purposeful,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systematic,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accelerated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expansion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consolidation.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require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C3F64" w:rsidRPr="00C32803">
        <w:rPr>
          <w:rFonts w:ascii="Tahoma" w:hAnsi="Tahoma" w:cs="Tahoma"/>
          <w:sz w:val="28"/>
          <w:szCs w:val="28"/>
        </w:rPr>
        <w:t>informed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participation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great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souls,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1996,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summoned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take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up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vast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educational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challenge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F20B4"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entailed.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called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establish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network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training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institutes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focused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generating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increasing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flow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individuals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endowed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necessary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capacities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sustain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growth.</w:t>
      </w:r>
    </w:p>
    <w:p w14:paraId="2B904674" w14:textId="616FB4B3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15741DAF" w14:textId="22A37035" w:rsidR="002A6217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4</w:t>
      </w:r>
    </w:p>
    <w:p w14:paraId="50936C7D" w14:textId="5600C0B6" w:rsidR="00EA3083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1671D7" w:rsidRPr="00C32803">
        <w:rPr>
          <w:rFonts w:ascii="Tahoma" w:hAnsi="Tahoma" w:cs="Tahoma"/>
          <w:sz w:val="28"/>
          <w:szCs w:val="28"/>
        </w:rPr>
        <w:t>friends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about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task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aware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notwithstanding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1671D7"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previous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victories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teaching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field,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plainly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1671D7" w:rsidRPr="00C32803">
        <w:rPr>
          <w:rFonts w:ascii="Tahoma" w:hAnsi="Tahoma" w:cs="Tahoma"/>
          <w:sz w:val="28"/>
          <w:szCs w:val="28"/>
        </w:rPr>
        <w:t>they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much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learn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about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capacities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acquire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crucially,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acquire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them.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ways</w:t>
      </w:r>
      <w:r w:rsidR="001671D7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1671D7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1671D7" w:rsidRPr="00C32803">
        <w:rPr>
          <w:rFonts w:ascii="Tahoma" w:hAnsi="Tahoma" w:cs="Tahoma"/>
          <w:sz w:val="28"/>
          <w:szCs w:val="28"/>
        </w:rPr>
        <w:t>community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learn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doing,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lessons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learned,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distilled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refined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applied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diverse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settings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over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time,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eventually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incorporated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educational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materials.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383C1D"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383C1D"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383C1D" w:rsidRPr="00C32803">
        <w:rPr>
          <w:rFonts w:ascii="Tahoma" w:hAnsi="Tahoma" w:cs="Tahoma"/>
          <w:sz w:val="28"/>
          <w:szCs w:val="28"/>
        </w:rPr>
        <w:t>recognized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certain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activities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natural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response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spiritual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needs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population.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4F1636" w:rsidRPr="00C32803">
        <w:rPr>
          <w:rFonts w:ascii="Tahoma" w:hAnsi="Tahoma" w:cs="Tahoma"/>
          <w:sz w:val="28"/>
          <w:szCs w:val="28"/>
        </w:rPr>
        <w:t>Study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circles,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children’s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classes,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d</w:t>
      </w:r>
      <w:r w:rsidRPr="00C32803">
        <w:rPr>
          <w:rFonts w:ascii="Tahoma" w:hAnsi="Tahoma" w:cs="Tahoma"/>
          <w:sz w:val="28"/>
          <w:szCs w:val="28"/>
        </w:rPr>
        <w:t>evotional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meetings,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later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junior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youth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groups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stood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central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importance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regard,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woven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together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related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activities,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dynamics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generated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rise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vibrant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pattern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life.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numbers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participating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activities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grew,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dimension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added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original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purpose</w:t>
      </w:r>
      <w:r w:rsidR="008009D7" w:rsidRPr="00C32803">
        <w:rPr>
          <w:rFonts w:ascii="Tahoma" w:hAnsi="Tahoma" w:cs="Tahoma"/>
          <w:sz w:val="28"/>
          <w:szCs w:val="28"/>
        </w:rPr>
        <w:t>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8009D7" w:rsidRPr="00C32803">
        <w:rPr>
          <w:rFonts w:ascii="Tahoma" w:hAnsi="Tahoma" w:cs="Tahoma"/>
          <w:sz w:val="28"/>
          <w:szCs w:val="28"/>
        </w:rPr>
        <w:t>T</w:t>
      </w:r>
      <w:r w:rsidRPr="00C32803">
        <w:rPr>
          <w:rFonts w:ascii="Tahoma" w:hAnsi="Tahoma" w:cs="Tahoma"/>
          <w:sz w:val="28"/>
          <w:szCs w:val="28"/>
        </w:rPr>
        <w:t>hey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serve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portals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through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youth,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adults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whole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families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wider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society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encounter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Revelation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Bahá’u’lláh.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becoming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apparent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practical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consider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strategies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building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context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“cluster”: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geographic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61992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61992" w:rsidRPr="00C32803">
        <w:rPr>
          <w:rFonts w:ascii="Tahoma" w:hAnsi="Tahoma" w:cs="Tahoma"/>
          <w:sz w:val="28"/>
          <w:szCs w:val="28"/>
        </w:rPr>
        <w:t>manageable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61992" w:rsidRPr="00C32803">
        <w:rPr>
          <w:rFonts w:ascii="Tahoma" w:hAnsi="Tahoma" w:cs="Tahoma"/>
          <w:sz w:val="28"/>
          <w:szCs w:val="28"/>
        </w:rPr>
        <w:t>size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distinct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social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economic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features.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capacity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preparing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simple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level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cluster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began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cultivated,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programmes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arose,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organized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become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three-month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cycles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activity.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important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point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clarity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emerged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early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on: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movement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individuals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through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sequence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courses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gives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impetus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0810DF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perpetuated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b</w:t>
      </w:r>
      <w:r w:rsidR="000810DF" w:rsidRPr="00C32803">
        <w:rPr>
          <w:rFonts w:ascii="Tahoma" w:hAnsi="Tahoma" w:cs="Tahoma"/>
          <w:sz w:val="28"/>
          <w:szCs w:val="28"/>
        </w:rPr>
        <w:t>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movement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clusters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along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continuum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development.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complementary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relationship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helped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friends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everywhere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assess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dynamics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own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surroundings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chart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towards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increased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strength.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bookmarkStart w:id="5" w:name="_Hlk68174899"/>
      <w:r w:rsidR="000810DF"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0810DF" w:rsidRPr="00C32803">
        <w:rPr>
          <w:rFonts w:ascii="Tahoma" w:hAnsi="Tahoma" w:cs="Tahoma"/>
          <w:sz w:val="28"/>
          <w:szCs w:val="28"/>
        </w:rPr>
        <w:t>time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0810DF" w:rsidRPr="00C32803">
        <w:rPr>
          <w:rFonts w:ascii="Tahoma" w:hAnsi="Tahoma" w:cs="Tahoma"/>
          <w:sz w:val="28"/>
          <w:szCs w:val="28"/>
        </w:rPr>
        <w:t>went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0810DF" w:rsidRPr="00C32803">
        <w:rPr>
          <w:rFonts w:ascii="Tahoma" w:hAnsi="Tahoma" w:cs="Tahoma"/>
          <w:sz w:val="28"/>
          <w:szCs w:val="28"/>
        </w:rPr>
        <w:t>on,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13C89" w:rsidRPr="00C32803">
        <w:rPr>
          <w:rFonts w:ascii="Tahoma" w:hAnsi="Tahoma" w:cs="Tahoma"/>
          <w:sz w:val="28"/>
          <w:szCs w:val="28"/>
        </w:rPr>
        <w:t>proved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13C89" w:rsidRPr="00C32803">
        <w:rPr>
          <w:rFonts w:ascii="Tahoma" w:hAnsi="Tahoma" w:cs="Tahoma"/>
          <w:sz w:val="28"/>
          <w:szCs w:val="28"/>
        </w:rPr>
        <w:t>fruitful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view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what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occurring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cluster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13C89" w:rsidRPr="00C32803">
        <w:rPr>
          <w:rFonts w:ascii="Tahoma" w:hAnsi="Tahoma" w:cs="Tahoma"/>
          <w:sz w:val="28"/>
          <w:szCs w:val="28"/>
        </w:rPr>
        <w:t>both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20C3"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perspective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20C3" w:rsidRPr="00C32803">
        <w:rPr>
          <w:rFonts w:ascii="Tahoma" w:hAnsi="Tahoma" w:cs="Tahoma"/>
          <w:sz w:val="28"/>
          <w:szCs w:val="28"/>
        </w:rPr>
        <w:t>three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educational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20C3" w:rsidRPr="00C32803">
        <w:rPr>
          <w:rFonts w:ascii="Tahoma" w:hAnsi="Tahoma" w:cs="Tahoma"/>
          <w:sz w:val="28"/>
          <w:szCs w:val="28"/>
        </w:rPr>
        <w:t>imperatives</w:t>
      </w:r>
      <w:r w:rsidR="00ED3AB8" w:rsidRPr="00C32803">
        <w:rPr>
          <w:rFonts w:ascii="Tahoma" w:hAnsi="Tahoma" w:cs="Tahoma"/>
          <w:sz w:val="28"/>
          <w:szCs w:val="28"/>
        </w:rPr>
        <w:t>—</w:t>
      </w:r>
      <w:r w:rsidR="00C351E4" w:rsidRPr="00C32803">
        <w:rPr>
          <w:rFonts w:ascii="Tahoma" w:hAnsi="Tahoma" w:cs="Tahoma"/>
          <w:sz w:val="28"/>
          <w:szCs w:val="28"/>
        </w:rPr>
        <w:t>serving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children,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junior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youth</w:t>
      </w:r>
      <w:r w:rsidR="006720C3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20C3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20C3" w:rsidRPr="00C32803">
        <w:rPr>
          <w:rFonts w:ascii="Tahoma" w:hAnsi="Tahoma" w:cs="Tahoma"/>
          <w:sz w:val="28"/>
          <w:szCs w:val="28"/>
        </w:rPr>
        <w:t>youth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3AB8" w:rsidRPr="00C32803">
        <w:rPr>
          <w:rFonts w:ascii="Tahoma" w:hAnsi="Tahoma" w:cs="Tahoma"/>
          <w:sz w:val="28"/>
          <w:szCs w:val="28"/>
        </w:rPr>
        <w:t>adults</w:t>
      </w:r>
      <w:r w:rsidR="006720C3" w:rsidRPr="00C32803">
        <w:rPr>
          <w:rFonts w:ascii="Tahoma" w:hAnsi="Tahoma" w:cs="Tahoma"/>
          <w:sz w:val="28"/>
          <w:szCs w:val="28"/>
        </w:rPr>
        <w:t>—as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20C3" w:rsidRPr="00C32803">
        <w:rPr>
          <w:rFonts w:ascii="Tahoma" w:hAnsi="Tahoma" w:cs="Tahoma"/>
          <w:sz w:val="28"/>
          <w:szCs w:val="28"/>
        </w:rPr>
        <w:t>well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20C3"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20C3"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20C3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20C3" w:rsidRPr="00C32803">
        <w:rPr>
          <w:rFonts w:ascii="Tahoma" w:hAnsi="Tahoma" w:cs="Tahoma"/>
          <w:sz w:val="28"/>
          <w:szCs w:val="28"/>
        </w:rPr>
        <w:t>perspective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20C3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20C3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20C3" w:rsidRPr="00C32803">
        <w:rPr>
          <w:rFonts w:ascii="Tahoma" w:hAnsi="Tahoma" w:cs="Tahoma"/>
          <w:sz w:val="28"/>
          <w:szCs w:val="28"/>
        </w:rPr>
        <w:t>cycles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20C3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20C3" w:rsidRPr="00C32803">
        <w:rPr>
          <w:rFonts w:ascii="Tahoma" w:hAnsi="Tahoma" w:cs="Tahoma"/>
          <w:sz w:val="28"/>
          <w:szCs w:val="28"/>
        </w:rPr>
        <w:t>activity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13C89" w:rsidRPr="00C32803">
        <w:rPr>
          <w:rFonts w:ascii="Tahoma" w:hAnsi="Tahoma" w:cs="Tahoma"/>
          <w:sz w:val="28"/>
          <w:szCs w:val="28"/>
        </w:rPr>
        <w:t>essential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13C89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13C89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13C89" w:rsidRPr="00C32803">
        <w:rPr>
          <w:rFonts w:ascii="Tahoma" w:hAnsi="Tahoma" w:cs="Tahoma"/>
          <w:sz w:val="28"/>
          <w:szCs w:val="28"/>
        </w:rPr>
        <w:t>rhythm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13C89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20C3" w:rsidRPr="00C32803">
        <w:rPr>
          <w:rFonts w:ascii="Tahoma" w:hAnsi="Tahoma" w:cs="Tahoma"/>
          <w:sz w:val="28"/>
          <w:szCs w:val="28"/>
        </w:rPr>
        <w:t>growth.</w:t>
      </w:r>
      <w:bookmarkEnd w:id="5"/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Part</w:t>
      </w:r>
      <w:r w:rsidR="004809D2" w:rsidRPr="00C32803">
        <w:rPr>
          <w:rFonts w:ascii="Tahoma" w:hAnsi="Tahoma" w:cs="Tahoma"/>
          <w:sz w:val="28"/>
          <w:szCs w:val="28"/>
        </w:rPr>
        <w:t>-</w:t>
      </w:r>
      <w:r w:rsidRPr="00C32803">
        <w:rPr>
          <w:rFonts w:ascii="Tahoma" w:hAnsi="Tahoma" w:cs="Tahoma"/>
          <w:sz w:val="28"/>
          <w:szCs w:val="28"/>
        </w:rPr>
        <w:t>way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twenty-five-year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endeavour,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recognizable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features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today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becoming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established.</w:t>
      </w:r>
    </w:p>
    <w:p w14:paraId="75EDEE31" w14:textId="2AEDB548" w:rsidR="005D6593" w:rsidRDefault="005D6593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3C9F88D8" w14:textId="77777777" w:rsidR="002A6217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lastRenderedPageBreak/>
        <w:t>5</w:t>
      </w:r>
    </w:p>
    <w:p w14:paraId="2DE2EA74" w14:textId="46C505E2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efforts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friends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E2CEE" w:rsidRPr="00C32803">
        <w:rPr>
          <w:rFonts w:ascii="Tahoma" w:hAnsi="Tahoma" w:cs="Tahoma"/>
          <w:sz w:val="28"/>
          <w:szCs w:val="28"/>
        </w:rPr>
        <w:t>intensified</w:t>
      </w:r>
      <w:r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various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principles,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concepts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strategies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universal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relevance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began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crystallize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framework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evolve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accommodate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elements.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framework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proved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fundamental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release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tremendous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vitality.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assisted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friends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channel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energies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ways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experience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shown,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conducive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healthy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communities.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But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framework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formula.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taking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account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various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elements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framework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assessing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reality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cluster,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locality</w:t>
      </w:r>
      <w:r w:rsidR="009D6F10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simply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neighbourhood,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pattern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activity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developed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drew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learning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still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response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particular</w:t>
      </w:r>
      <w:r w:rsidRPr="00C32803">
        <w:rPr>
          <w:rFonts w:ascii="Tahoma" w:hAnsi="Tahoma" w:cs="Tahoma"/>
          <w:sz w:val="28"/>
          <w:szCs w:val="28"/>
        </w:rPr>
        <w:t>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place.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dichotomy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between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rigid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requirements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limitless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personal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preferences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other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nuanced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understanding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variety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means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individuals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support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heart,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coherent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continually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refined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experience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accumulated.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Let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doubt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about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advance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represented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emergence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framework: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CF20B4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implications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harmonizing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unifying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endeavours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entire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propelling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onward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march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great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consequence.</w:t>
      </w:r>
    </w:p>
    <w:p w14:paraId="75493CED" w14:textId="77777777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4CDEDC20" w14:textId="77777777" w:rsidR="002A6217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6</w:t>
      </w:r>
    </w:p>
    <w:p w14:paraId="15B359AB" w14:textId="326F000D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succeeded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another,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engagement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building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became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broadly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based,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advances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level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culture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became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pronounced.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735BF0"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instance,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t</w:t>
      </w:r>
      <w:r w:rsidRPr="00C32803">
        <w:rPr>
          <w:rFonts w:ascii="Tahoma" w:hAnsi="Tahoma" w:cs="Tahoma"/>
          <w:sz w:val="28"/>
          <w:szCs w:val="28"/>
        </w:rPr>
        <w:t>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importance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educating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younger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generations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9D6F10" w:rsidRPr="00C32803">
        <w:rPr>
          <w:rFonts w:ascii="Tahoma" w:hAnsi="Tahoma" w:cs="Tahoma"/>
          <w:sz w:val="28"/>
          <w:szCs w:val="28"/>
        </w:rPr>
        <w:t>became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widely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appreciated,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9D6F10" w:rsidRPr="00C32803">
        <w:rPr>
          <w:rFonts w:ascii="Tahoma" w:hAnsi="Tahoma" w:cs="Tahoma"/>
          <w:sz w:val="28"/>
          <w:szCs w:val="28"/>
        </w:rPr>
        <w:t>did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extraordinary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potential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represented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junior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youth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particular</w:t>
      </w:r>
      <w:proofErr w:type="gramEnd"/>
      <w:r w:rsidRPr="00C32803">
        <w:rPr>
          <w:rFonts w:ascii="Tahoma" w:hAnsi="Tahoma" w:cs="Tahoma"/>
          <w:sz w:val="28"/>
          <w:szCs w:val="28"/>
        </w:rPr>
        <w:t>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2D492C" w:rsidRPr="00C32803">
        <w:rPr>
          <w:rFonts w:ascii="Tahoma" w:hAnsi="Tahoma" w:cs="Tahoma"/>
          <w:sz w:val="28"/>
          <w:szCs w:val="28"/>
        </w:rPr>
        <w:t>Souls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assisting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accompanying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another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along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shared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path,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C3F64" w:rsidRPr="00C32803">
        <w:rPr>
          <w:rFonts w:ascii="Tahoma" w:hAnsi="Tahoma" w:cs="Tahoma"/>
          <w:sz w:val="28"/>
          <w:szCs w:val="28"/>
        </w:rPr>
        <w:t>constantly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C3F64" w:rsidRPr="00C32803">
        <w:rPr>
          <w:rFonts w:ascii="Tahoma" w:hAnsi="Tahoma" w:cs="Tahoma"/>
          <w:sz w:val="28"/>
          <w:szCs w:val="28"/>
        </w:rPr>
        <w:t>widening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C3F64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C3F64" w:rsidRPr="00C32803">
        <w:rPr>
          <w:rFonts w:ascii="Tahoma" w:hAnsi="Tahoma" w:cs="Tahoma"/>
          <w:sz w:val="28"/>
          <w:szCs w:val="28"/>
        </w:rPr>
        <w:t>circle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C3F64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C3F64" w:rsidRPr="00C32803">
        <w:rPr>
          <w:rFonts w:ascii="Tahoma" w:hAnsi="Tahoma" w:cs="Tahoma"/>
          <w:sz w:val="28"/>
          <w:szCs w:val="28"/>
        </w:rPr>
        <w:t>mutual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C3F64" w:rsidRPr="00C32803">
        <w:rPr>
          <w:rFonts w:ascii="Tahoma" w:hAnsi="Tahoma" w:cs="Tahoma"/>
          <w:sz w:val="28"/>
          <w:szCs w:val="28"/>
        </w:rPr>
        <w:t>support</w:t>
      </w:r>
      <w:r w:rsidR="002D492C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became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pattern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efforts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aimed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F20B4" w:rsidRPr="00C32803">
        <w:rPr>
          <w:rFonts w:ascii="Tahoma" w:hAnsi="Tahoma" w:cs="Tahoma"/>
          <w:sz w:val="28"/>
          <w:szCs w:val="28"/>
        </w:rPr>
        <w:t>develop</w:t>
      </w:r>
      <w:r w:rsidRPr="00C32803">
        <w:rPr>
          <w:rFonts w:ascii="Tahoma" w:hAnsi="Tahoma" w:cs="Tahoma"/>
          <w:sz w:val="28"/>
          <w:szCs w:val="28"/>
        </w:rPr>
        <w:t>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capacity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service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aspired.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Even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interactions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friends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among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themselves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around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underwent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change,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awareness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raised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power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meaningful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conversations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kindle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9D6F10" w:rsidRPr="00C32803">
        <w:rPr>
          <w:rFonts w:ascii="Tahoma" w:hAnsi="Tahoma" w:cs="Tahoma"/>
          <w:sz w:val="28"/>
          <w:szCs w:val="28"/>
        </w:rPr>
        <w:t>fan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spiritual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susceptibilities.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significantly,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adopted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increasingly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outward-looking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orientation.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soul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responsive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vision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become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participant—even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promoter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facilitator—of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educational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activities,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meetings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worship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other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elements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community-building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work;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among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souls,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declare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Bahá’u’lláh.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Thus,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conception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entry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troops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emerged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relied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theories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assumptions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actual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experience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large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numbers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people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become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familiar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identify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aims,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join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activities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deliberations,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cases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embrace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Indeed,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institute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strengthened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region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after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region,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number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individuals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taking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share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extending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even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recently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acquainted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lastRenderedPageBreak/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grew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F20B4"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leaps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bounds.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But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driven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concern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numbers.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vision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personal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collective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transformation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occurring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simultaneously,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founded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study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God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appreciation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each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person’s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capacity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become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protagonist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profound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spiritual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drama,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given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rise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sense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common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B2B27" w:rsidRPr="00C32803">
        <w:rPr>
          <w:rFonts w:ascii="Tahoma" w:hAnsi="Tahoma" w:cs="Tahoma"/>
          <w:sz w:val="28"/>
          <w:szCs w:val="28"/>
        </w:rPr>
        <w:t>endeavour</w:t>
      </w:r>
      <w:r w:rsidRPr="00C32803">
        <w:rPr>
          <w:rFonts w:ascii="Tahoma" w:hAnsi="Tahoma" w:cs="Tahoma"/>
          <w:sz w:val="28"/>
          <w:szCs w:val="28"/>
        </w:rPr>
        <w:t>.</w:t>
      </w:r>
    </w:p>
    <w:p w14:paraId="1C83BB7B" w14:textId="0E4D736D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4C51D132" w14:textId="79D358A2" w:rsidR="002A6217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7</w:t>
      </w:r>
    </w:p>
    <w:p w14:paraId="04BC26AB" w14:textId="786A8212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  <w:shd w:val="clear" w:color="auto" w:fill="C0C0C0"/>
        </w:rPr>
      </w:pPr>
      <w:r w:rsidRPr="00C32803">
        <w:rPr>
          <w:rFonts w:ascii="Tahoma" w:hAnsi="Tahoma" w:cs="Tahoma"/>
          <w:sz w:val="28"/>
          <w:szCs w:val="28"/>
        </w:rPr>
        <w:t>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striking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inspiring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features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twenty-five-year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period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service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rendered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youth,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9D6F10" w:rsidRPr="00C32803">
        <w:rPr>
          <w:rFonts w:ascii="Tahoma" w:hAnsi="Tahoma" w:cs="Tahoma"/>
          <w:sz w:val="28"/>
          <w:szCs w:val="28"/>
        </w:rPr>
        <w:t>valour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assumed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rightful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forefront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community’s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B2B27" w:rsidRPr="00C32803">
        <w:rPr>
          <w:rFonts w:ascii="Tahoma" w:hAnsi="Tahoma" w:cs="Tahoma"/>
          <w:sz w:val="28"/>
          <w:szCs w:val="28"/>
        </w:rPr>
        <w:t>efforts</w:t>
      </w:r>
      <w:r w:rsidRPr="00C32803">
        <w:rPr>
          <w:rFonts w:ascii="Tahoma" w:hAnsi="Tahoma" w:cs="Tahoma"/>
          <w:sz w:val="28"/>
          <w:szCs w:val="28"/>
        </w:rPr>
        <w:t>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teachers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Cause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educators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young,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mobile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tutors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homefront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pioneers,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cluster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coordinators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members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agencies,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youth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continents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arisen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serve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devotion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sacrifice.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maturity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demonstrated,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discharge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duties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upon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depend</w:t>
      </w:r>
      <w:r w:rsidR="009107B8" w:rsidRPr="00C32803">
        <w:rPr>
          <w:rFonts w:ascii="Tahoma" w:hAnsi="Tahoma" w:cs="Tahoma"/>
          <w:sz w:val="28"/>
          <w:szCs w:val="28"/>
        </w:rPr>
        <w:t>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advancement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Divine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expressive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spiritual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vitality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commitment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safeguarding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humanity’s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future.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recognition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increasingly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evident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maturity,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decided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immediately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following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Riḍván,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while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age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believer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becomes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eligible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serve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Spiritual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Assembly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shall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remain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twenty-one,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believer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may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vote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elections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shall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lowered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eighteen.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8009D7"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009D7"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009D7" w:rsidRPr="00C32803">
        <w:rPr>
          <w:rFonts w:ascii="Tahoma" w:hAnsi="Tahoma" w:cs="Tahoma"/>
          <w:sz w:val="28"/>
          <w:szCs w:val="28"/>
        </w:rPr>
        <w:t>no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009D7" w:rsidRPr="00C32803">
        <w:rPr>
          <w:rFonts w:ascii="Tahoma" w:hAnsi="Tahoma" w:cs="Tahoma"/>
          <w:sz w:val="28"/>
          <w:szCs w:val="28"/>
        </w:rPr>
        <w:t>doubt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009D7"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009D7"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009D7" w:rsidRPr="00C32803">
        <w:rPr>
          <w:rFonts w:ascii="Tahoma" w:hAnsi="Tahoma" w:cs="Tahoma"/>
          <w:sz w:val="28"/>
          <w:szCs w:val="28"/>
        </w:rPr>
        <w:t>youth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009D7" w:rsidRPr="00C32803">
        <w:rPr>
          <w:rFonts w:ascii="Tahoma" w:hAnsi="Tahoma" w:cs="Tahoma"/>
          <w:sz w:val="28"/>
          <w:szCs w:val="28"/>
        </w:rPr>
        <w:t>everywhere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009D7" w:rsidRPr="00C32803">
        <w:rPr>
          <w:rFonts w:ascii="Tahoma" w:hAnsi="Tahoma" w:cs="Tahoma"/>
          <w:sz w:val="28"/>
          <w:szCs w:val="28"/>
        </w:rPr>
        <w:t>who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009D7"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009D7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009D7" w:rsidRPr="00C32803">
        <w:rPr>
          <w:rFonts w:ascii="Tahoma" w:hAnsi="Tahoma" w:cs="Tahoma"/>
          <w:sz w:val="28"/>
          <w:szCs w:val="28"/>
        </w:rPr>
        <w:t>age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009D7" w:rsidRPr="00C32803">
        <w:rPr>
          <w:rFonts w:ascii="Tahoma" w:hAnsi="Tahoma" w:cs="Tahoma"/>
          <w:sz w:val="28"/>
          <w:szCs w:val="28"/>
        </w:rPr>
        <w:t>will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009D7" w:rsidRPr="00C32803">
        <w:rPr>
          <w:rFonts w:ascii="Tahoma" w:hAnsi="Tahoma" w:cs="Tahoma"/>
          <w:sz w:val="28"/>
          <w:szCs w:val="28"/>
        </w:rPr>
        <w:t>vindicate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our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confidence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ability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fulfil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“conscientiously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diligently”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“sacred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duty</w:t>
      </w:r>
      <w:bookmarkStart w:id="6" w:name="_Hlk68612024"/>
      <w:r w:rsidRPr="00C32803">
        <w:rPr>
          <w:rFonts w:ascii="Tahoma" w:hAnsi="Tahoma" w:cs="Tahoma"/>
          <w:sz w:val="28"/>
          <w:szCs w:val="28"/>
        </w:rPr>
        <w:t>”</w:t>
      </w:r>
      <w:bookmarkEnd w:id="6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every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elector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called.</w:t>
      </w:r>
    </w:p>
    <w:p w14:paraId="41241E73" w14:textId="77777777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21B101B0" w14:textId="77777777" w:rsidR="00CB66A1" w:rsidRPr="00C32803" w:rsidRDefault="00CB66A1" w:rsidP="002A6217">
      <w:pPr>
        <w:pStyle w:val="BWCBodyText"/>
        <w:spacing w:line="240" w:lineRule="auto"/>
        <w:ind w:firstLine="0"/>
        <w:jc w:val="center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*</w:t>
      </w:r>
    </w:p>
    <w:p w14:paraId="5A60270A" w14:textId="77777777" w:rsidR="0026346A" w:rsidRPr="00C32803" w:rsidRDefault="0026346A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1E9A8399" w14:textId="2096F5CB" w:rsidR="00CB66A1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8</w:t>
      </w:r>
    </w:p>
    <w:p w14:paraId="28B74313" w14:textId="06D76CE0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conscious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naturally,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realities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differ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greatly.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Different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communities,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different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communities,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began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series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different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points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development;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developed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different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speeds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attained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different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levels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progress.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This</w:t>
      </w:r>
      <w:proofErr w:type="gramStart"/>
      <w:r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itself,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nothing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new</w:t>
      </w:r>
      <w:r w:rsidR="00CE2CEE" w:rsidRPr="00C32803">
        <w:rPr>
          <w:rFonts w:ascii="Tahoma" w:hAnsi="Tahoma" w:cs="Tahoma"/>
          <w:sz w:val="28"/>
          <w:szCs w:val="28"/>
        </w:rPr>
        <w:t>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CE2CEE" w:rsidRPr="00C32803">
        <w:rPr>
          <w:rFonts w:ascii="Tahoma" w:hAnsi="Tahoma" w:cs="Tahoma"/>
          <w:sz w:val="28"/>
          <w:szCs w:val="28"/>
        </w:rPr>
        <w:t>I</w:t>
      </w:r>
      <w:r w:rsidRPr="00C32803">
        <w:rPr>
          <w:rFonts w:ascii="Tahoma" w:hAnsi="Tahoma" w:cs="Tahoma"/>
          <w:sz w:val="28"/>
          <w:szCs w:val="28"/>
        </w:rPr>
        <w:t>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always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conditions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vary,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does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degree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receptivity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C5072" w:rsidRPr="00C32803">
        <w:rPr>
          <w:rFonts w:ascii="Tahoma" w:hAnsi="Tahoma" w:cs="Tahoma"/>
          <w:sz w:val="28"/>
          <w:szCs w:val="28"/>
        </w:rPr>
        <w:t>found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15B49" w:rsidRPr="00C32803">
        <w:rPr>
          <w:rFonts w:ascii="Tahoma" w:hAnsi="Tahoma" w:cs="Tahoma"/>
          <w:sz w:val="28"/>
          <w:szCs w:val="28"/>
        </w:rPr>
        <w:t>there</w:t>
      </w:r>
      <w:r w:rsidRPr="00C32803">
        <w:rPr>
          <w:rFonts w:ascii="Tahoma" w:hAnsi="Tahoma" w:cs="Tahoma"/>
          <w:sz w:val="28"/>
          <w:szCs w:val="28"/>
        </w:rPr>
        <w:t>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But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perceive,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too,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swelling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tide,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whereby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capacity,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confidence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accumulated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experience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rising,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buoyed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success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sister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far.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example,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souls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open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locality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1996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lacked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nothing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courage,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faith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devotion,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today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counterparts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everywhere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combine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same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qualities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knowledge,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insights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skills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accumulation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twenty-five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effort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entire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systematize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refine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expansion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consolidation.</w:t>
      </w:r>
    </w:p>
    <w:p w14:paraId="1994F61D" w14:textId="32E36073" w:rsidR="005D6593" w:rsidRDefault="005D6593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318EFF22" w14:textId="005C89EA" w:rsidR="002A6217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lastRenderedPageBreak/>
        <w:t>9</w:t>
      </w:r>
    </w:p>
    <w:p w14:paraId="02B27195" w14:textId="02B45656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Regardless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community’s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starting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point,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advanc</w:t>
      </w:r>
      <w:r w:rsidR="002D492C" w:rsidRPr="00C32803">
        <w:rPr>
          <w:rFonts w:ascii="Tahoma" w:hAnsi="Tahoma" w:cs="Tahoma"/>
          <w:sz w:val="28"/>
          <w:szCs w:val="28"/>
        </w:rPr>
        <w:t>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combined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qualities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perseverance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commitment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readiness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learn.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735BF0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fact</w:t>
      </w:r>
      <w:r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cherished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legacy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series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widespread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recognition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effort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advance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begins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orientation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towards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learning.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simplicity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precept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belies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significance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implications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follow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doubt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every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cluster,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given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time,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progress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along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continuum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development;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advanced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quickly,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relative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circumstances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possibilities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similar,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shown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ability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foster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thought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learn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about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effective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action.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without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hesitating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act.</w:t>
      </w:r>
    </w:p>
    <w:p w14:paraId="12BC19B4" w14:textId="71A6C4E7" w:rsidR="00CB66A1" w:rsidRPr="005D659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25DCC157" w14:textId="79DDA293" w:rsidR="002A6217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10</w:t>
      </w:r>
    </w:p>
    <w:p w14:paraId="5532C730" w14:textId="40689B69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commitment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learning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meant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prepared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make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mistakes—and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sometimes,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course,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mistakes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brought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discomfort.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Unsurprisingly,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methods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approaches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handled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inexpertly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first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because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lack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experience;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occasion,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newly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acquired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capacity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kind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lost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became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absorbed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developing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another.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Having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intentions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guarantee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against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making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missteps,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moving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requires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both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humility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detachment.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B26EB9" w:rsidRPr="00C32803">
        <w:rPr>
          <w:rFonts w:ascii="Tahoma" w:hAnsi="Tahoma" w:cs="Tahoma"/>
          <w:sz w:val="28"/>
          <w:szCs w:val="28"/>
        </w:rPr>
        <w:t>When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remained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determined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show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forbearance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learn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mistakes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naturally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occur,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progress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never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reach.</w:t>
      </w:r>
    </w:p>
    <w:p w14:paraId="18106125" w14:textId="46B2CAAD" w:rsidR="00CB66A1" w:rsidRPr="005D659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541630A1" w14:textId="35C6909C" w:rsidR="002A6217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11</w:t>
      </w:r>
    </w:p>
    <w:p w14:paraId="476B80B6" w14:textId="20CF540A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Midway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through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series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community’s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involvement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life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society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began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become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focus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direct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attention.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believers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encouraged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think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terms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two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interconnected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endeavour</w:t>
      </w:r>
      <w:r w:rsidR="00735BF0" w:rsidRPr="00C32803">
        <w:rPr>
          <w:rFonts w:ascii="Tahoma" w:hAnsi="Tahoma" w:cs="Tahoma"/>
          <w:sz w:val="28"/>
          <w:szCs w:val="28"/>
        </w:rPr>
        <w:t>—</w:t>
      </w:r>
      <w:r w:rsidRPr="00C32803">
        <w:rPr>
          <w:rFonts w:ascii="Tahoma" w:hAnsi="Tahoma" w:cs="Tahoma"/>
          <w:sz w:val="28"/>
          <w:szCs w:val="28"/>
        </w:rPr>
        <w:t>social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participation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prevalent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discourses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society.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These,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course,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alternatives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expansion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consolidation,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much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distractions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it: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inherent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greater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human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resources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greater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became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capacity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bring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wisdom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contained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Bahá’u’lláh’s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Revelation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upon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challenges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day—to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translate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teachings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reality.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troubled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affairs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humankind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over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period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seemed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underline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desperate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remedy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prescribed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Divine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Physician.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Implied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conception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religion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very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different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holding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sway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large: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conception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recognized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religion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potent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propelling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ever-advancing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civilization.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understood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civilization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also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appear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spontaneously,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own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accord—it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mission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Bahá’u’lláh’s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followers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E2CEE" w:rsidRPr="00C32803">
        <w:rPr>
          <w:rFonts w:ascii="Tahoma" w:hAnsi="Tahoma" w:cs="Tahoma"/>
          <w:sz w:val="28"/>
          <w:szCs w:val="28"/>
        </w:rPr>
        <w:t>labour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emergence.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Such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mission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demanded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applying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same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E2CEE" w:rsidRPr="00C32803">
        <w:rPr>
          <w:rFonts w:ascii="Tahoma" w:hAnsi="Tahoma" w:cs="Tahoma"/>
          <w:sz w:val="28"/>
          <w:szCs w:val="28"/>
        </w:rPr>
        <w:t>process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lastRenderedPageBreak/>
        <w:t>systematic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E2CEE" w:rsidRPr="00C32803">
        <w:rPr>
          <w:rFonts w:ascii="Tahoma" w:hAnsi="Tahoma" w:cs="Tahoma"/>
          <w:sz w:val="28"/>
          <w:szCs w:val="28"/>
        </w:rPr>
        <w:t>learning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E2CEE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E2CEE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E2CEE" w:rsidRPr="00C32803">
        <w:rPr>
          <w:rFonts w:ascii="Tahoma" w:hAnsi="Tahoma" w:cs="Tahoma"/>
          <w:sz w:val="28"/>
          <w:szCs w:val="28"/>
        </w:rPr>
        <w:t>work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E2CEE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social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action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engagement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public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discourse</w:t>
      </w:r>
      <w:r w:rsidRPr="00C32803">
        <w:rPr>
          <w:rFonts w:ascii="Tahoma" w:hAnsi="Tahoma" w:cs="Tahoma"/>
          <w:sz w:val="28"/>
          <w:szCs w:val="28"/>
        </w:rPr>
        <w:t>.</w:t>
      </w:r>
    </w:p>
    <w:p w14:paraId="0235AFC5" w14:textId="710EBC9A" w:rsidR="00CB66A1" w:rsidRPr="005D659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5D66635E" w14:textId="4065A1C0" w:rsidR="002A6217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12</w:t>
      </w:r>
    </w:p>
    <w:p w14:paraId="60A4D063" w14:textId="17DEF396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Viewed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perspective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last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two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half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decades,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capacity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undertaking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social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risen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markedly,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leading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extraordinary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efflorescence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activity.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Compared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1996,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250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social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economic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development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projects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sustained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1,500,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number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Bahá’í-inspired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organizations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quadrupled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surpass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160.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70,000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grassroots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social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initiatives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short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duration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undertaken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each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fifty-fold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increase.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look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forward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continued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rise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endeavours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resulting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dedicated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support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stimulus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provided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International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Development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Organization.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Meanwhile,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participation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prevalent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discourses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society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also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immensely</w:t>
      </w:r>
      <w:r w:rsidR="002D492C" w:rsidRPr="00C32803">
        <w:rPr>
          <w:rFonts w:ascii="Tahoma" w:hAnsi="Tahoma" w:cs="Tahoma"/>
          <w:sz w:val="28"/>
          <w:szCs w:val="28"/>
        </w:rPr>
        <w:t>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2D492C" w:rsidRPr="00C32803">
        <w:rPr>
          <w:rFonts w:ascii="Tahoma" w:hAnsi="Tahoma" w:cs="Tahoma"/>
          <w:sz w:val="28"/>
          <w:szCs w:val="28"/>
        </w:rPr>
        <w:t>Besides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many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occasions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489" w:rsidRPr="00C32803">
        <w:rPr>
          <w:rFonts w:ascii="Tahoma" w:hAnsi="Tahoma" w:cs="Tahoma"/>
          <w:sz w:val="28"/>
          <w:szCs w:val="28"/>
        </w:rPr>
        <w:t>when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friends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find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they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can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offer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perspective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conversations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occur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work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D492C" w:rsidRPr="00C32803">
        <w:rPr>
          <w:rFonts w:ascii="Tahoma" w:hAnsi="Tahoma" w:cs="Tahoma"/>
          <w:sz w:val="28"/>
          <w:szCs w:val="28"/>
        </w:rPr>
        <w:t>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D28B5" w:rsidRPr="00C32803">
        <w:rPr>
          <w:rFonts w:ascii="Tahoma" w:hAnsi="Tahoma" w:cs="Tahoma"/>
          <w:sz w:val="28"/>
          <w:szCs w:val="28"/>
        </w:rPr>
        <w:t>personal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D28B5" w:rsidRPr="00C32803">
        <w:rPr>
          <w:rFonts w:ascii="Tahoma" w:hAnsi="Tahoma" w:cs="Tahoma"/>
          <w:sz w:val="28"/>
          <w:szCs w:val="28"/>
        </w:rPr>
        <w:t>context</w:t>
      </w:r>
      <w:r w:rsidR="002D492C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formal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participation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discourses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197E75" w:rsidRPr="00C32803">
        <w:rPr>
          <w:rFonts w:ascii="Tahoma" w:hAnsi="Tahoma" w:cs="Tahoma"/>
          <w:sz w:val="28"/>
          <w:szCs w:val="28"/>
        </w:rPr>
        <w:t>significantly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advanced</w:t>
      </w:r>
      <w:r w:rsidR="00C929C2" w:rsidRPr="00C32803">
        <w:rPr>
          <w:rFonts w:ascii="Tahoma" w:hAnsi="Tahoma" w:cs="Tahoma"/>
          <w:sz w:val="28"/>
          <w:szCs w:val="28"/>
        </w:rPr>
        <w:t>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C929C2"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mind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much</w:t>
      </w:r>
      <w:r w:rsidR="00677489" w:rsidRPr="00C32803">
        <w:rPr>
          <w:rFonts w:ascii="Tahoma" w:hAnsi="Tahoma" w:cs="Tahoma"/>
          <w:sz w:val="28"/>
          <w:szCs w:val="28"/>
        </w:rPr>
        <w:t>-</w:t>
      </w:r>
      <w:r w:rsidRPr="00C32803">
        <w:rPr>
          <w:rFonts w:ascii="Tahoma" w:hAnsi="Tahoma" w:cs="Tahoma"/>
          <w:sz w:val="28"/>
          <w:szCs w:val="28"/>
        </w:rPr>
        <w:t>expanded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efforts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increasingly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sophisticated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contributions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International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Community—which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period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added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Offices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Africa,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Asia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Europe—but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work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vastly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augmented,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greatly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fortified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network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Offices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External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Affairs,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73C5E" w:rsidRPr="00C32803">
        <w:rPr>
          <w:rFonts w:ascii="Tahoma" w:hAnsi="Tahoma" w:cs="Tahoma"/>
          <w:sz w:val="28"/>
          <w:szCs w:val="28"/>
        </w:rPr>
        <w:t>endeavour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became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principal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focus</w:t>
      </w:r>
      <w:r w:rsidR="00C929C2" w:rsidRPr="00C32803">
        <w:rPr>
          <w:rFonts w:ascii="Tahoma" w:hAnsi="Tahoma" w:cs="Tahoma"/>
          <w:sz w:val="28"/>
          <w:szCs w:val="28"/>
        </w:rPr>
        <w:t>;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addition,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there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insightful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73C5E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73C5E" w:rsidRPr="00C32803">
        <w:rPr>
          <w:rFonts w:ascii="Tahoma" w:hAnsi="Tahoma" w:cs="Tahoma"/>
          <w:sz w:val="28"/>
          <w:szCs w:val="28"/>
        </w:rPr>
        <w:t>notable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contributions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made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individual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believers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specific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fields</w:t>
      </w:r>
      <w:r w:rsidRPr="00C32803">
        <w:rPr>
          <w:rFonts w:ascii="Tahoma" w:hAnsi="Tahoma" w:cs="Tahoma"/>
          <w:sz w:val="28"/>
          <w:szCs w:val="28"/>
        </w:rPr>
        <w:t>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C929C2" w:rsidRPr="00C32803">
        <w:rPr>
          <w:rFonts w:ascii="Tahoma" w:hAnsi="Tahoma" w:cs="Tahoma"/>
          <w:sz w:val="28"/>
          <w:szCs w:val="28"/>
        </w:rPr>
        <w:t>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929C2" w:rsidRPr="00C32803">
        <w:rPr>
          <w:rFonts w:ascii="Tahoma" w:hAnsi="Tahoma" w:cs="Tahoma"/>
          <w:sz w:val="28"/>
          <w:szCs w:val="28"/>
        </w:rPr>
        <w:t>t</w:t>
      </w:r>
      <w:r w:rsidRPr="00C32803">
        <w:rPr>
          <w:rFonts w:ascii="Tahoma" w:hAnsi="Tahoma" w:cs="Tahoma"/>
          <w:sz w:val="28"/>
          <w:szCs w:val="28"/>
        </w:rPr>
        <w:t>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goes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towards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explaining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esteem,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appreciation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admiration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leaders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thought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other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prominent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figures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levels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society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again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again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expressed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followers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activities.</w:t>
      </w:r>
    </w:p>
    <w:p w14:paraId="2DDB4C2C" w14:textId="6BA9866A" w:rsidR="00CB66A1" w:rsidRPr="005D659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61967523" w14:textId="188B115F" w:rsidR="008773C2" w:rsidRPr="00C32803" w:rsidRDefault="008773C2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13</w:t>
      </w:r>
    </w:p>
    <w:p w14:paraId="5105F52C" w14:textId="0C01F5A9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  <w:shd w:val="clear" w:color="auto" w:fill="C0C0C0"/>
        </w:rPr>
      </w:pP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reviewing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entire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twenty-five-year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period,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awed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many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kinds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progress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5BF0" w:rsidRPr="00C32803">
        <w:rPr>
          <w:rFonts w:ascii="Tahoma" w:hAnsi="Tahoma" w:cs="Tahoma"/>
          <w:sz w:val="28"/>
          <w:szCs w:val="28"/>
        </w:rPr>
        <w:t>made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489" w:rsidRPr="00C32803">
        <w:rPr>
          <w:rFonts w:ascii="Tahoma" w:hAnsi="Tahoma" w:cs="Tahoma"/>
          <w:sz w:val="28"/>
          <w:szCs w:val="28"/>
        </w:rPr>
        <w:t>concurrently</w:t>
      </w:r>
      <w:r w:rsidRPr="00C32803">
        <w:rPr>
          <w:rFonts w:ascii="Tahoma" w:hAnsi="Tahoma" w:cs="Tahoma"/>
          <w:sz w:val="28"/>
          <w:szCs w:val="28"/>
        </w:rPr>
        <w:t>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677F40"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F40" w:rsidRPr="00C32803">
        <w:rPr>
          <w:rFonts w:ascii="Tahoma" w:hAnsi="Tahoma" w:cs="Tahoma"/>
          <w:sz w:val="28"/>
          <w:szCs w:val="28"/>
        </w:rPr>
        <w:t>intellectual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F40" w:rsidRPr="00C32803">
        <w:rPr>
          <w:rFonts w:ascii="Tahoma" w:hAnsi="Tahoma" w:cs="Tahoma"/>
          <w:sz w:val="28"/>
          <w:szCs w:val="28"/>
        </w:rPr>
        <w:t>life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F40"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F40" w:rsidRPr="00C32803">
        <w:rPr>
          <w:rFonts w:ascii="Tahoma" w:hAnsi="Tahoma" w:cs="Tahoma"/>
          <w:sz w:val="28"/>
          <w:szCs w:val="28"/>
        </w:rPr>
        <w:t>thrived,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E2761"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E2761" w:rsidRPr="00C32803">
        <w:rPr>
          <w:rFonts w:ascii="Tahoma" w:hAnsi="Tahoma" w:cs="Tahoma"/>
          <w:sz w:val="28"/>
          <w:szCs w:val="28"/>
        </w:rPr>
        <w:t>demonstrated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E2761" w:rsidRPr="00C32803">
        <w:rPr>
          <w:rFonts w:ascii="Tahoma" w:hAnsi="Tahoma" w:cs="Tahoma"/>
          <w:sz w:val="28"/>
          <w:szCs w:val="28"/>
        </w:rPr>
        <w:t>not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E2761" w:rsidRPr="00C32803">
        <w:rPr>
          <w:rFonts w:ascii="Tahoma" w:hAnsi="Tahoma" w:cs="Tahoma"/>
          <w:sz w:val="28"/>
          <w:szCs w:val="28"/>
        </w:rPr>
        <w:t>only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E2761"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F40"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F671B3" w:rsidRPr="00C32803">
        <w:rPr>
          <w:rFonts w:ascii="Tahoma" w:hAnsi="Tahoma" w:cs="Tahoma"/>
          <w:sz w:val="28"/>
          <w:szCs w:val="28"/>
        </w:rPr>
        <w:t>advances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F40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E2761" w:rsidRPr="00C32803">
        <w:rPr>
          <w:rFonts w:ascii="Tahoma" w:hAnsi="Tahoma" w:cs="Tahoma"/>
          <w:sz w:val="28"/>
          <w:szCs w:val="28"/>
        </w:rPr>
        <w:t>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F40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E2761" w:rsidRPr="00C32803">
        <w:rPr>
          <w:rFonts w:ascii="Tahoma" w:hAnsi="Tahoma" w:cs="Tahoma"/>
          <w:sz w:val="28"/>
          <w:szCs w:val="28"/>
        </w:rPr>
        <w:t>areas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E2761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E2761" w:rsidRPr="00C32803">
        <w:rPr>
          <w:rFonts w:ascii="Tahoma" w:hAnsi="Tahoma" w:cs="Tahoma"/>
          <w:sz w:val="28"/>
          <w:szCs w:val="28"/>
        </w:rPr>
        <w:t>endeavour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E2761" w:rsidRPr="00C32803">
        <w:rPr>
          <w:rFonts w:ascii="Tahoma" w:hAnsi="Tahoma" w:cs="Tahoma"/>
          <w:sz w:val="28"/>
          <w:szCs w:val="28"/>
        </w:rPr>
        <w:t>already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E2761" w:rsidRPr="00C32803">
        <w:rPr>
          <w:rFonts w:ascii="Tahoma" w:hAnsi="Tahoma" w:cs="Tahoma"/>
          <w:sz w:val="28"/>
          <w:szCs w:val="28"/>
        </w:rPr>
        <w:t>discussed,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E2761" w:rsidRPr="00C32803">
        <w:rPr>
          <w:rFonts w:ascii="Tahoma" w:hAnsi="Tahoma" w:cs="Tahoma"/>
          <w:sz w:val="28"/>
          <w:szCs w:val="28"/>
        </w:rPr>
        <w:t>but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E2761" w:rsidRPr="00C32803">
        <w:rPr>
          <w:rFonts w:ascii="Tahoma" w:hAnsi="Tahoma" w:cs="Tahoma"/>
          <w:sz w:val="28"/>
          <w:szCs w:val="28"/>
        </w:rPr>
        <w:t>also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028A2"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volume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high-quality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literature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published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authors,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development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spaces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exploration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certain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disciplines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light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25DDF" w:rsidRPr="00C32803">
        <w:rPr>
          <w:rFonts w:ascii="Tahoma" w:hAnsi="Tahoma" w:cs="Tahoma"/>
          <w:sz w:val="28"/>
          <w:szCs w:val="28"/>
        </w:rPr>
        <w:t>t</w:t>
      </w:r>
      <w:r w:rsidRPr="00C32803">
        <w:rPr>
          <w:rFonts w:ascii="Tahoma" w:hAnsi="Tahoma" w:cs="Tahoma"/>
          <w:sz w:val="28"/>
          <w:szCs w:val="28"/>
        </w:rPr>
        <w:t>eachings,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028A2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impact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undergraduate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graduate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seminars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systematically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offered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Institute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Studies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Global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Prosperity</w:t>
      </w:r>
      <w:r w:rsidR="006766DE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6766DE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collaboration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institutions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Cause,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serves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youth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over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100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countries.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Efforts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raise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up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Houses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Worship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very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visibly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accelerated.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4015E8" w:rsidRPr="00C32803">
        <w:rPr>
          <w:rFonts w:ascii="Tahoma" w:hAnsi="Tahoma" w:cs="Tahoma"/>
          <w:sz w:val="28"/>
          <w:szCs w:val="28"/>
        </w:rPr>
        <w:t>T</w:t>
      </w:r>
      <w:r w:rsidRPr="00C32803">
        <w:rPr>
          <w:rFonts w:ascii="Tahoma" w:hAnsi="Tahoma" w:cs="Tahoma"/>
          <w:sz w:val="28"/>
          <w:szCs w:val="28"/>
        </w:rPr>
        <w:t>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last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Mother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Temple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015E8"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erected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Santiago,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Chile,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015E8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projects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build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two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local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</w:t>
      </w:r>
      <w:r w:rsidRPr="00C32803">
        <w:rPr>
          <w:rFonts w:ascii="Tahoma" w:hAnsi="Tahoma" w:cs="Tahoma"/>
          <w:sz w:val="28"/>
          <w:szCs w:val="28"/>
          <w:u w:val="single"/>
        </w:rPr>
        <w:t>sh</w:t>
      </w:r>
      <w:r w:rsidRPr="00C32803">
        <w:rPr>
          <w:rFonts w:ascii="Tahoma" w:hAnsi="Tahoma" w:cs="Tahoma"/>
          <w:sz w:val="28"/>
          <w:szCs w:val="28"/>
        </w:rPr>
        <w:t>riqu’l-A</w:t>
      </w:r>
      <w:r w:rsidRPr="00C32803">
        <w:rPr>
          <w:rFonts w:ascii="Tahoma" w:hAnsi="Tahoma" w:cs="Tahoma"/>
          <w:sz w:val="28"/>
          <w:szCs w:val="28"/>
          <w:u w:val="single"/>
        </w:rPr>
        <w:t>dh</w:t>
      </w:r>
      <w:r w:rsidRPr="00C32803">
        <w:rPr>
          <w:rFonts w:ascii="Tahoma" w:hAnsi="Tahoma" w:cs="Tahoma"/>
          <w:sz w:val="28"/>
          <w:szCs w:val="28"/>
        </w:rPr>
        <w:t>kárs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initiated;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Houses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Worship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Battambang,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Cambodia,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Norte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Cauca,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Colombia,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already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opened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doors.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6766DE"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Temples,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whether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newly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dedicated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long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established,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lastRenderedPageBreak/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increasingly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occupying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position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heart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community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66DE" w:rsidRPr="00C32803">
        <w:rPr>
          <w:rFonts w:ascii="Tahoma" w:hAnsi="Tahoma" w:cs="Tahoma"/>
          <w:sz w:val="28"/>
          <w:szCs w:val="28"/>
        </w:rPr>
        <w:t>life.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material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support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offered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rank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believers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myriad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endeavours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undertaken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friends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God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unstinting.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Simply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viewed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measure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collective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spiritual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vitality,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generosity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sacrifice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time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considerable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economic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upheaval,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critical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flow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funds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maintained—nay,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invigorated—is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A404F" w:rsidRPr="00C32803">
        <w:rPr>
          <w:rFonts w:ascii="Tahoma" w:hAnsi="Tahoma" w:cs="Tahoma"/>
          <w:sz w:val="28"/>
          <w:szCs w:val="28"/>
        </w:rPr>
        <w:t>most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A404F" w:rsidRPr="00C32803">
        <w:rPr>
          <w:rFonts w:ascii="Tahoma" w:hAnsi="Tahoma" w:cs="Tahoma"/>
          <w:sz w:val="28"/>
          <w:szCs w:val="28"/>
        </w:rPr>
        <w:t>telling</w:t>
      </w:r>
      <w:r w:rsidRPr="00C32803">
        <w:rPr>
          <w:rFonts w:ascii="Tahoma" w:hAnsi="Tahoma" w:cs="Tahoma"/>
          <w:sz w:val="28"/>
          <w:szCs w:val="28"/>
        </w:rPr>
        <w:t>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realm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administration,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capacity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Spiritual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Assemblies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manage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affairs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complexity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considerably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enhanced.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A404F"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benefited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particular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heights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collaboration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Counsellors,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instrumental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systematizing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gathering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insights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grassroots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D4C03" w:rsidRPr="00C32803">
        <w:rPr>
          <w:rFonts w:ascii="Tahoma" w:hAnsi="Tahoma" w:cs="Tahoma"/>
          <w:sz w:val="28"/>
          <w:szCs w:val="28"/>
        </w:rPr>
        <w:t>across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D4C03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D4C03"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ensuring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widely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disseminated.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period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Regional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Council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emerged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C32803">
        <w:rPr>
          <w:rFonts w:ascii="Tahoma" w:hAnsi="Tahoma" w:cs="Tahoma"/>
          <w:sz w:val="28"/>
          <w:szCs w:val="28"/>
        </w:rPr>
        <w:t>fully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fledged</w:t>
      </w:r>
      <w:proofErr w:type="spell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institution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Cause,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2</w:t>
      </w:r>
      <w:r w:rsidR="00237245" w:rsidRPr="00C32803">
        <w:rPr>
          <w:rFonts w:ascii="Tahoma" w:hAnsi="Tahoma" w:cs="Tahoma"/>
          <w:sz w:val="28"/>
          <w:szCs w:val="28"/>
        </w:rPr>
        <w:t>30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regions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now,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Councils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training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institutes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oversee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proved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themselves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indispensable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advancing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growth.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bookmarkStart w:id="7" w:name="_Hlk68178153"/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extend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future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8119B" w:rsidRPr="00C32803">
        <w:rPr>
          <w:rFonts w:ascii="Tahoma" w:hAnsi="Tahoma" w:cs="Tahoma"/>
          <w:sz w:val="28"/>
          <w:szCs w:val="28"/>
        </w:rPr>
        <w:t>functions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8119B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Chief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Trustee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Ḥuqúqu’lláh,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25DDF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Cause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God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‘Alí-Muḥammad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Varqá,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International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Board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Trustees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Ḥuqúqu’lláh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established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2005</w:t>
      </w:r>
      <w:r w:rsidR="000F7AD0" w:rsidRPr="00C32803">
        <w:rPr>
          <w:rFonts w:ascii="Tahoma" w:hAnsi="Tahoma" w:cs="Tahoma"/>
          <w:sz w:val="28"/>
          <w:szCs w:val="28"/>
        </w:rPr>
        <w:t>;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A404F" w:rsidRPr="00C32803">
        <w:rPr>
          <w:rFonts w:ascii="Tahoma" w:hAnsi="Tahoma" w:cs="Tahoma"/>
          <w:sz w:val="28"/>
          <w:szCs w:val="28"/>
        </w:rPr>
        <w:t>today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0F7AD0" w:rsidRPr="00C32803">
        <w:rPr>
          <w:rFonts w:ascii="Tahoma" w:hAnsi="Tahoma" w:cs="Tahoma"/>
          <w:sz w:val="28"/>
          <w:szCs w:val="28"/>
        </w:rPr>
        <w:t>coordinates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efforts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33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2168D" w:rsidRPr="00C32803">
        <w:rPr>
          <w:rFonts w:ascii="Tahoma" w:hAnsi="Tahoma" w:cs="Tahoma"/>
          <w:sz w:val="28"/>
          <w:szCs w:val="28"/>
        </w:rPr>
        <w:t>National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2168D" w:rsidRPr="00C32803">
        <w:rPr>
          <w:rFonts w:ascii="Tahoma" w:hAnsi="Tahoma" w:cs="Tahoma"/>
          <w:sz w:val="28"/>
          <w:szCs w:val="28"/>
        </w:rPr>
        <w:t>Regional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Boards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Trustees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compass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globe</w:t>
      </w:r>
      <w:r w:rsidR="0059252B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turn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0F7AD0" w:rsidRPr="00C32803">
        <w:rPr>
          <w:rFonts w:ascii="Tahoma" w:hAnsi="Tahoma" w:cs="Tahoma"/>
          <w:sz w:val="28"/>
          <w:szCs w:val="28"/>
        </w:rPr>
        <w:t>guide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0F7AD0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0F7AD0" w:rsidRPr="00C32803">
        <w:rPr>
          <w:rFonts w:ascii="Tahoma" w:hAnsi="Tahoma" w:cs="Tahoma"/>
          <w:sz w:val="28"/>
          <w:szCs w:val="28"/>
        </w:rPr>
        <w:t>work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0F7AD0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0F7AD0" w:rsidRPr="00C32803">
        <w:rPr>
          <w:rFonts w:ascii="Tahoma" w:hAnsi="Tahoma" w:cs="Tahoma"/>
          <w:sz w:val="28"/>
          <w:szCs w:val="28"/>
        </w:rPr>
        <w:t>over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0F7AD0" w:rsidRPr="00C32803">
        <w:rPr>
          <w:rFonts w:ascii="Tahoma" w:hAnsi="Tahoma" w:cs="Tahoma"/>
          <w:sz w:val="28"/>
          <w:szCs w:val="28"/>
        </w:rPr>
        <w:t>1,000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Representatives</w:t>
      </w:r>
      <w:r w:rsidRPr="00C32803">
        <w:rPr>
          <w:rFonts w:ascii="Tahoma" w:hAnsi="Tahoma" w:cs="Tahoma"/>
          <w:sz w:val="28"/>
          <w:szCs w:val="28"/>
        </w:rPr>
        <w:t>.</w:t>
      </w:r>
      <w:bookmarkEnd w:id="7"/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developments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occurred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Centre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during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same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period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many: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witness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completion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Terraces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Shrine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Báb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two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buildings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Arc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433D3" w:rsidRPr="00C32803">
        <w:rPr>
          <w:rFonts w:ascii="Tahoma" w:hAnsi="Tahoma" w:cs="Tahoma"/>
          <w:sz w:val="28"/>
          <w:szCs w:val="28"/>
        </w:rPr>
        <w:t>commencement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construction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Shrine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‘Abdu’l-Bahá</w:t>
      </w:r>
      <w:r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mention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projects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strengthen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preserve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precious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Shrine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Bahá’u’lláh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Shrine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Báb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recognized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Heritage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sites,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inestimable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significance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humanity.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public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flocked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sacred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locations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hundreds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thousands,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approaching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half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million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Centre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regularly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welcomed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hundreds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pilgrims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once,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sometimes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5,000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along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similar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number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A404F"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visitors;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delighted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much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raised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numbers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scores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different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peoples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nations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represented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among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those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who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partake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bounty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9252B" w:rsidRPr="00C32803">
        <w:rPr>
          <w:rFonts w:ascii="Tahoma" w:hAnsi="Tahoma" w:cs="Tahoma"/>
          <w:sz w:val="28"/>
          <w:szCs w:val="28"/>
        </w:rPr>
        <w:t>pilgrimage.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translation,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publication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dissemination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Sacred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Texts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120EC" w:rsidRPr="00C32803">
        <w:rPr>
          <w:rFonts w:ascii="Tahoma" w:hAnsi="Tahoma" w:cs="Tahoma"/>
          <w:sz w:val="28"/>
          <w:szCs w:val="28"/>
        </w:rPr>
        <w:t>also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0F7AD0"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greatly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accelerated</w:t>
      </w:r>
      <w:r w:rsidR="00E120EC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120EC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120EC" w:rsidRPr="00C32803">
        <w:rPr>
          <w:rFonts w:ascii="Tahoma" w:hAnsi="Tahoma" w:cs="Tahoma"/>
          <w:sz w:val="28"/>
          <w:szCs w:val="28"/>
        </w:rPr>
        <w:t>parallel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120EC"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development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Reference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Library</w:t>
      </w:r>
      <w:r w:rsidR="007E49A5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notable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members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family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websites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associated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Bahá'í</w:t>
      </w:r>
      <w:r w:rsidRPr="00C32803">
        <w:rPr>
          <w:rFonts w:ascii="Tahoma" w:hAnsi="Tahoma" w:cs="Tahoma"/>
          <w:sz w:val="28"/>
          <w:szCs w:val="28"/>
        </w:rPr>
        <w:t>.org,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120EC"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120EC" w:rsidRPr="00C32803">
        <w:rPr>
          <w:rFonts w:ascii="Tahoma" w:hAnsi="Tahoma" w:cs="Tahoma"/>
          <w:sz w:val="28"/>
          <w:szCs w:val="28"/>
        </w:rPr>
        <w:t>itself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120EC"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120EC" w:rsidRPr="00C32803">
        <w:rPr>
          <w:rFonts w:ascii="Tahoma" w:hAnsi="Tahoma" w:cs="Tahoma"/>
          <w:sz w:val="28"/>
          <w:szCs w:val="28"/>
        </w:rPr>
        <w:t>available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languages.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variety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offices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agencies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established,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situat</w:t>
      </w:r>
      <w:r w:rsidRPr="00C32803">
        <w:rPr>
          <w:rFonts w:ascii="Tahoma" w:hAnsi="Tahoma" w:cs="Tahoma"/>
          <w:sz w:val="28"/>
          <w:szCs w:val="28"/>
        </w:rPr>
        <w:t>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Centre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elsewhere,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28A0" w:rsidRPr="00C32803">
        <w:rPr>
          <w:rFonts w:ascii="Tahoma" w:hAnsi="Tahoma" w:cs="Tahoma"/>
          <w:sz w:val="28"/>
          <w:szCs w:val="28"/>
        </w:rPr>
        <w:t>charged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28A0"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28A0" w:rsidRPr="00C32803">
        <w:rPr>
          <w:rFonts w:ascii="Tahoma" w:hAnsi="Tahoma" w:cs="Tahoma"/>
          <w:sz w:val="28"/>
          <w:szCs w:val="28"/>
        </w:rPr>
        <w:t>supporting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28A0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28A0" w:rsidRPr="00C32803">
        <w:rPr>
          <w:rFonts w:ascii="Tahoma" w:hAnsi="Tahoma" w:cs="Tahoma"/>
          <w:sz w:val="28"/>
          <w:szCs w:val="28"/>
        </w:rPr>
        <w:t>process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28A0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28A0" w:rsidRPr="00C32803">
        <w:rPr>
          <w:rFonts w:ascii="Tahoma" w:hAnsi="Tahoma" w:cs="Tahoma"/>
          <w:sz w:val="28"/>
          <w:szCs w:val="28"/>
        </w:rPr>
        <w:t>learning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28A0" w:rsidRPr="00C32803">
        <w:rPr>
          <w:rFonts w:ascii="Tahoma" w:hAnsi="Tahoma" w:cs="Tahoma"/>
          <w:sz w:val="28"/>
          <w:szCs w:val="28"/>
        </w:rPr>
        <w:t>unfolding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28A0" w:rsidRPr="00C32803">
        <w:rPr>
          <w:rFonts w:ascii="Tahoma" w:hAnsi="Tahoma" w:cs="Tahoma"/>
          <w:sz w:val="28"/>
          <w:szCs w:val="28"/>
        </w:rPr>
        <w:t>across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28A0" w:rsidRPr="00C32803">
        <w:rPr>
          <w:rFonts w:ascii="Tahoma" w:hAnsi="Tahoma" w:cs="Tahoma"/>
          <w:sz w:val="28"/>
          <w:szCs w:val="28"/>
        </w:rPr>
        <w:t>multiple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28A0" w:rsidRPr="00C32803">
        <w:rPr>
          <w:rFonts w:ascii="Tahoma" w:hAnsi="Tahoma" w:cs="Tahoma"/>
          <w:sz w:val="28"/>
          <w:szCs w:val="28"/>
        </w:rPr>
        <w:t>areas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28A0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28A0" w:rsidRPr="00C32803">
        <w:rPr>
          <w:rFonts w:ascii="Tahoma" w:hAnsi="Tahoma" w:cs="Tahoma"/>
          <w:sz w:val="28"/>
          <w:szCs w:val="28"/>
        </w:rPr>
        <w:t>endeavour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28A0" w:rsidRPr="00C32803">
        <w:rPr>
          <w:rFonts w:ascii="Tahoma" w:hAnsi="Tahoma" w:cs="Tahoma"/>
          <w:sz w:val="28"/>
          <w:szCs w:val="28"/>
        </w:rPr>
        <w:t>throughout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28A0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28A0"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ED28A0" w:rsidRPr="00C32803">
        <w:rPr>
          <w:rFonts w:ascii="Tahoma" w:hAnsi="Tahoma" w:cs="Tahoma"/>
          <w:sz w:val="28"/>
          <w:szCs w:val="28"/>
        </w:rPr>
        <w:t>world</w:t>
      </w:r>
      <w:r w:rsidRPr="00C32803">
        <w:rPr>
          <w:rFonts w:ascii="Tahoma" w:hAnsi="Tahoma" w:cs="Tahoma"/>
          <w:sz w:val="28"/>
          <w:szCs w:val="28"/>
        </w:rPr>
        <w:t>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our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sisters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brothers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fraction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tale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recount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your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devotion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Him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Wronged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brought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forth.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echo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poignant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A404F" w:rsidRPr="00C32803">
        <w:rPr>
          <w:rFonts w:ascii="Tahoma" w:hAnsi="Tahoma" w:cs="Tahoma"/>
          <w:sz w:val="28"/>
          <w:szCs w:val="28"/>
        </w:rPr>
        <w:lastRenderedPageBreak/>
        <w:t>once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voiced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beloved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Master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when,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overcome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emotion,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cried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out</w:t>
      </w:r>
      <w:proofErr w:type="gramStart"/>
      <w:r w:rsidR="00425DDF" w:rsidRPr="00C32803">
        <w:rPr>
          <w:rFonts w:ascii="Tahoma" w:hAnsi="Tahoma" w:cs="Tahoma"/>
          <w:sz w:val="28"/>
          <w:szCs w:val="28"/>
        </w:rPr>
        <w:t>: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“</w:t>
      </w:r>
      <w:proofErr w:type="gramEnd"/>
      <w:r w:rsidRPr="00C32803">
        <w:rPr>
          <w:rFonts w:ascii="Tahoma" w:hAnsi="Tahoma" w:cs="Tahoma"/>
          <w:sz w:val="28"/>
          <w:szCs w:val="28"/>
        </w:rPr>
        <w:t>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Bahá’u’lláh!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What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Thou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done?”</w:t>
      </w:r>
    </w:p>
    <w:p w14:paraId="6C9B73DF" w14:textId="77777777" w:rsidR="00CB66A1" w:rsidRPr="005D659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22B91884" w14:textId="5E38DA8A" w:rsidR="00CB66A1" w:rsidRPr="00C32803" w:rsidRDefault="00CB66A1" w:rsidP="002A6217">
      <w:pPr>
        <w:pStyle w:val="BWCBodyText"/>
        <w:spacing w:line="240" w:lineRule="auto"/>
        <w:ind w:firstLine="0"/>
        <w:jc w:val="center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*</w:t>
      </w:r>
    </w:p>
    <w:p w14:paraId="4624B5B3" w14:textId="15FB18D8" w:rsidR="00C262C8" w:rsidRPr="005D6593" w:rsidRDefault="00C262C8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5CF4E4FE" w14:textId="1A3B1416" w:rsidR="002A6217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1</w:t>
      </w:r>
      <w:r w:rsidR="008773C2" w:rsidRPr="00C32803">
        <w:rPr>
          <w:rFonts w:ascii="Tahoma" w:hAnsi="Tahoma" w:cs="Tahoma"/>
          <w:sz w:val="28"/>
          <w:szCs w:val="28"/>
        </w:rPr>
        <w:t>4</w:t>
      </w:r>
    </w:p>
    <w:p w14:paraId="31EE4603" w14:textId="2EF9131C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panorama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pivotal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quarter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century,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0F7AD0" w:rsidRPr="00C32803">
        <w:rPr>
          <w:rFonts w:ascii="Tahoma" w:hAnsi="Tahoma" w:cs="Tahoma"/>
          <w:sz w:val="28"/>
          <w:szCs w:val="28"/>
        </w:rPr>
        <w:t>direct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0F7AD0" w:rsidRPr="00C32803">
        <w:rPr>
          <w:rFonts w:ascii="Tahoma" w:hAnsi="Tahoma" w:cs="Tahoma"/>
          <w:sz w:val="28"/>
          <w:szCs w:val="28"/>
        </w:rPr>
        <w:t>our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focus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0F7AD0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recent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Five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quite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unlike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25DDF"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before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variety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ways.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urged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draw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learned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previous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twenty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full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effect.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delighted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our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hopes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regard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met,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naturally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expect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great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things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followers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Blessed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Beauty,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character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achieved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through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herculean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efforts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truly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breathtaking.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capstone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accomplishment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twenty-five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making.</w:t>
      </w:r>
    </w:p>
    <w:p w14:paraId="1D00B490" w14:textId="39F3B5F3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55980C15" w14:textId="76A0AE34" w:rsidR="002A6217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1</w:t>
      </w:r>
      <w:r w:rsidR="008773C2" w:rsidRPr="00C32803">
        <w:rPr>
          <w:rFonts w:ascii="Tahoma" w:hAnsi="Tahoma" w:cs="Tahoma"/>
          <w:sz w:val="28"/>
          <w:szCs w:val="28"/>
        </w:rPr>
        <w:t>5</w:t>
      </w:r>
    </w:p>
    <w:p w14:paraId="3F1BB920" w14:textId="3324F4D6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especially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memorable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trisected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two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sacred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bicentenaries,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each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galvanized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local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over.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company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faithful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demonstrated,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scale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never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previously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witnessed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relative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ease,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capacity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engage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people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sections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society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honouring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life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Manifestation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God.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powerful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indicator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something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broader: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ability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channel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release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tremendous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spiritual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energies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advancement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Cause.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magnificent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response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propelled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obscurity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level.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settings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unexpected,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perhaps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unlooked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marked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receptivity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became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apparent.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Thousands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upon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thousands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upon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thousands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transported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encounter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devotional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spirit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today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characteristic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everywhere.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vision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made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possible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observing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Day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immeasurably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expanded.</w:t>
      </w:r>
    </w:p>
    <w:p w14:paraId="2599DF09" w14:textId="1897E80C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16ADCB82" w14:textId="1EDD41C7" w:rsidR="002A6217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1</w:t>
      </w:r>
      <w:r w:rsidR="008773C2" w:rsidRPr="00C32803">
        <w:rPr>
          <w:rFonts w:ascii="Tahoma" w:hAnsi="Tahoma" w:cs="Tahoma"/>
          <w:sz w:val="28"/>
          <w:szCs w:val="28"/>
        </w:rPr>
        <w:t>6</w:t>
      </w:r>
    </w:p>
    <w:p w14:paraId="1B0E3104" w14:textId="182B64C0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achievements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simply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numerical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terms,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quickly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eclipsed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preceded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1996.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start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A404F"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F40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028A2" w:rsidRPr="00C32803">
        <w:rPr>
          <w:rFonts w:ascii="Tahoma" w:hAnsi="Tahoma" w:cs="Tahoma"/>
          <w:sz w:val="28"/>
          <w:szCs w:val="28"/>
        </w:rPr>
        <w:t>capacity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028A2" w:rsidRPr="00C32803">
        <w:rPr>
          <w:rFonts w:ascii="Tahoma" w:hAnsi="Tahoma" w:cs="Tahoma"/>
          <w:sz w:val="28"/>
          <w:szCs w:val="28"/>
        </w:rPr>
        <w:t>existed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028A2"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028A2" w:rsidRPr="00C32803">
        <w:rPr>
          <w:rFonts w:ascii="Tahoma" w:hAnsi="Tahoma" w:cs="Tahoma"/>
          <w:sz w:val="28"/>
          <w:szCs w:val="28"/>
        </w:rPr>
        <w:t>conducting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028A2" w:rsidRPr="00C32803">
        <w:rPr>
          <w:rFonts w:ascii="Tahoma" w:hAnsi="Tahoma" w:cs="Tahoma"/>
          <w:sz w:val="28"/>
          <w:szCs w:val="28"/>
        </w:rPr>
        <w:t>just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028A2" w:rsidRPr="00C32803">
        <w:rPr>
          <w:rFonts w:ascii="Tahoma" w:hAnsi="Tahoma" w:cs="Tahoma"/>
          <w:sz w:val="28"/>
          <w:szCs w:val="28"/>
        </w:rPr>
        <w:t>over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028A2" w:rsidRPr="00C32803">
        <w:rPr>
          <w:rFonts w:ascii="Tahoma" w:hAnsi="Tahoma" w:cs="Tahoma"/>
          <w:sz w:val="28"/>
          <w:szCs w:val="28"/>
        </w:rPr>
        <w:t>100,000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028A2" w:rsidRPr="00C32803">
        <w:rPr>
          <w:rFonts w:ascii="Tahoma" w:hAnsi="Tahoma" w:cs="Tahoma"/>
          <w:sz w:val="28"/>
          <w:szCs w:val="28"/>
        </w:rPr>
        <w:t>core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028A2" w:rsidRPr="00C32803">
        <w:rPr>
          <w:rFonts w:ascii="Tahoma" w:hAnsi="Tahoma" w:cs="Tahoma"/>
          <w:sz w:val="28"/>
          <w:szCs w:val="28"/>
        </w:rPr>
        <w:t>activities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028A2"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028A2"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028A2" w:rsidRPr="00C32803">
        <w:rPr>
          <w:rFonts w:ascii="Tahoma" w:hAnsi="Tahoma" w:cs="Tahoma"/>
          <w:sz w:val="28"/>
          <w:szCs w:val="28"/>
        </w:rPr>
        <w:t>given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028A2" w:rsidRPr="00C32803">
        <w:rPr>
          <w:rFonts w:ascii="Tahoma" w:hAnsi="Tahoma" w:cs="Tahoma"/>
          <w:sz w:val="28"/>
          <w:szCs w:val="28"/>
        </w:rPr>
        <w:t>time,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capacity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fruit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twenty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endeavour.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062716" w:rsidRPr="00C32803">
        <w:rPr>
          <w:rFonts w:ascii="Tahoma" w:hAnsi="Tahoma" w:cs="Tahoma"/>
          <w:sz w:val="28"/>
          <w:szCs w:val="28"/>
        </w:rPr>
        <w:t>Now</w:t>
      </w:r>
      <w:r w:rsidR="00677F40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F40" w:rsidRPr="00C32803">
        <w:rPr>
          <w:rFonts w:ascii="Tahoma" w:hAnsi="Tahoma" w:cs="Tahoma"/>
          <w:sz w:val="28"/>
          <w:szCs w:val="28"/>
        </w:rPr>
        <w:t>300,000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F40" w:rsidRPr="00C32803">
        <w:rPr>
          <w:rFonts w:ascii="Tahoma" w:hAnsi="Tahoma" w:cs="Tahoma"/>
          <w:sz w:val="28"/>
          <w:szCs w:val="28"/>
        </w:rPr>
        <w:t>core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F40" w:rsidRPr="00C32803">
        <w:rPr>
          <w:rFonts w:ascii="Tahoma" w:hAnsi="Tahoma" w:cs="Tahoma"/>
          <w:sz w:val="28"/>
          <w:szCs w:val="28"/>
        </w:rPr>
        <w:t>activities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F40"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F40"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F40" w:rsidRPr="00C32803">
        <w:rPr>
          <w:rFonts w:ascii="Tahoma" w:hAnsi="Tahoma" w:cs="Tahoma"/>
          <w:sz w:val="28"/>
          <w:szCs w:val="28"/>
        </w:rPr>
        <w:t>sustained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F40"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77F40" w:rsidRPr="00C32803">
        <w:rPr>
          <w:rFonts w:ascii="Tahoma" w:hAnsi="Tahoma" w:cs="Tahoma"/>
          <w:sz w:val="28"/>
          <w:szCs w:val="28"/>
        </w:rPr>
        <w:t>once</w:t>
      </w:r>
      <w:r w:rsidR="00B8203B" w:rsidRPr="00C32803">
        <w:rPr>
          <w:rFonts w:ascii="Tahoma" w:hAnsi="Tahoma" w:cs="Tahoma"/>
          <w:sz w:val="28"/>
          <w:szCs w:val="28"/>
        </w:rPr>
        <w:t>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Participation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activities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risen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25DDF" w:rsidRPr="00C32803">
        <w:rPr>
          <w:rFonts w:ascii="Tahoma" w:hAnsi="Tahoma" w:cs="Tahoma"/>
          <w:sz w:val="28"/>
          <w:szCs w:val="28"/>
        </w:rPr>
        <w:t>above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two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million,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threefold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increase.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3</w:t>
      </w:r>
      <w:r w:rsidR="00C21585" w:rsidRPr="00C32803">
        <w:rPr>
          <w:rFonts w:ascii="Tahoma" w:hAnsi="Tahoma" w:cs="Tahoma"/>
          <w:sz w:val="28"/>
          <w:szCs w:val="28"/>
        </w:rPr>
        <w:t>2</w:t>
      </w:r>
      <w:r w:rsidRPr="00C32803">
        <w:rPr>
          <w:rFonts w:ascii="Tahoma" w:hAnsi="Tahoma" w:cs="Tahoma"/>
          <w:sz w:val="28"/>
          <w:szCs w:val="28"/>
        </w:rPr>
        <w:t>9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regional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training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institutes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operation,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capacity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F7C88" w:rsidRPr="00C32803">
        <w:rPr>
          <w:rFonts w:ascii="Tahoma" w:hAnsi="Tahoma" w:cs="Tahoma"/>
          <w:sz w:val="28"/>
          <w:szCs w:val="28"/>
        </w:rPr>
        <w:t>evidenced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fact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three</w:t>
      </w:r>
      <w:r w:rsidR="00B2168D" w:rsidRPr="00C32803">
        <w:rPr>
          <w:rFonts w:ascii="Tahoma" w:hAnsi="Tahoma" w:cs="Tahoma"/>
          <w:sz w:val="28"/>
          <w:szCs w:val="28"/>
        </w:rPr>
        <w:t>-</w:t>
      </w:r>
      <w:r w:rsidR="006A27B5" w:rsidRPr="00C32803">
        <w:rPr>
          <w:rFonts w:ascii="Tahoma" w:hAnsi="Tahoma" w:cs="Tahoma"/>
          <w:sz w:val="28"/>
          <w:szCs w:val="28"/>
        </w:rPr>
        <w:t>quarters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million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people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enabled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complete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least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book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lastRenderedPageBreak/>
        <w:t>sequence;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overall,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number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courses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completed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individuals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377111"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6A27B5" w:rsidRPr="00C32803">
        <w:rPr>
          <w:rFonts w:ascii="Tahoma" w:hAnsi="Tahoma" w:cs="Tahoma"/>
          <w:sz w:val="28"/>
          <w:szCs w:val="28"/>
        </w:rPr>
        <w:t>now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8203B" w:rsidRPr="00C32803">
        <w:rPr>
          <w:rFonts w:ascii="Tahoma" w:hAnsi="Tahoma" w:cs="Tahoma"/>
          <w:sz w:val="28"/>
          <w:szCs w:val="28"/>
        </w:rPr>
        <w:t>also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two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million</w:t>
      </w:r>
      <w:r w:rsidR="004A404F" w:rsidRPr="00C32803">
        <w:rPr>
          <w:rFonts w:ascii="Tahoma" w:hAnsi="Tahoma" w:cs="Tahoma"/>
          <w:sz w:val="28"/>
          <w:szCs w:val="28"/>
        </w:rPr>
        <w:t>—</w:t>
      </w:r>
      <w:r w:rsidR="00DC7E1D"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rise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well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over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third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five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years.</w:t>
      </w:r>
    </w:p>
    <w:p w14:paraId="0A7B2AA4" w14:textId="28023831" w:rsidR="00CB66A1" w:rsidRPr="005D659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7E5033B5" w14:textId="5F9C33E1" w:rsidR="002A6217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1</w:t>
      </w:r>
      <w:r w:rsidR="008773C2" w:rsidRPr="00C32803">
        <w:rPr>
          <w:rFonts w:ascii="Tahoma" w:hAnsi="Tahoma" w:cs="Tahoma"/>
          <w:sz w:val="28"/>
          <w:szCs w:val="28"/>
        </w:rPr>
        <w:t>7</w:t>
      </w:r>
    </w:p>
    <w:p w14:paraId="321F944B" w14:textId="0005EC8B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increased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intensity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programmes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around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pursued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tells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impressive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story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own.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five-year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span,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called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accelerated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every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5,000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clusters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begun.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imperative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became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impetus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earnest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endeavour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throughout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result,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number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intensive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programmes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doubled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stands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25DDF" w:rsidRPr="00C32803">
        <w:rPr>
          <w:rFonts w:ascii="Tahoma" w:hAnsi="Tahoma" w:cs="Tahoma"/>
          <w:sz w:val="28"/>
          <w:szCs w:val="28"/>
        </w:rPr>
        <w:t>approximately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4,000.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Difficulties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involved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opening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up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villages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neighbourhoods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midst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global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health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crisis,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or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expanding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activities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early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stage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pandemic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began,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prevented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even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higher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total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reached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during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Plan’s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However,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tell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outset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expressed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hope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number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clusters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friends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passed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third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milestone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along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continuum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growth,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consequence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learning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welcome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large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numbers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embrace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activities,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hundreds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more.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4A404F" w:rsidRPr="00C32803">
        <w:rPr>
          <w:rFonts w:ascii="Tahoma" w:hAnsi="Tahoma" w:cs="Tahoma"/>
          <w:sz w:val="28"/>
          <w:szCs w:val="28"/>
        </w:rPr>
        <w:t>T</w:t>
      </w:r>
      <w:r w:rsidRPr="00C32803">
        <w:rPr>
          <w:rFonts w:ascii="Tahoma" w:hAnsi="Tahoma" w:cs="Tahoma"/>
          <w:sz w:val="28"/>
          <w:szCs w:val="28"/>
        </w:rPr>
        <w:t>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total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A404F" w:rsidRPr="00C32803">
        <w:rPr>
          <w:rFonts w:ascii="Tahoma" w:hAnsi="Tahoma" w:cs="Tahoma"/>
          <w:sz w:val="28"/>
          <w:szCs w:val="28"/>
        </w:rPr>
        <w:t>then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stood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around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200,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spread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across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C3F64" w:rsidRPr="00C32803">
        <w:rPr>
          <w:rFonts w:ascii="Tahoma" w:hAnsi="Tahoma" w:cs="Tahoma"/>
          <w:sz w:val="28"/>
          <w:szCs w:val="28"/>
        </w:rPr>
        <w:t>some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C3F64" w:rsidRPr="00C32803">
        <w:rPr>
          <w:rFonts w:ascii="Tahoma" w:hAnsi="Tahoma" w:cs="Tahoma"/>
          <w:sz w:val="28"/>
          <w:szCs w:val="28"/>
        </w:rPr>
        <w:t>40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countries.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Five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number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risen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astonishing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25DDF" w:rsidRPr="00C32803">
        <w:rPr>
          <w:rFonts w:ascii="Tahoma" w:hAnsi="Tahoma" w:cs="Tahoma"/>
          <w:sz w:val="28"/>
          <w:szCs w:val="28"/>
        </w:rPr>
        <w:t>1,000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nearly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25DDF" w:rsidRPr="00C32803">
        <w:rPr>
          <w:rFonts w:ascii="Tahoma" w:hAnsi="Tahoma" w:cs="Tahoma"/>
          <w:sz w:val="28"/>
          <w:szCs w:val="28"/>
        </w:rPr>
        <w:t>100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countries—a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quarter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intensive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programmes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achievement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surpassing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our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expectations.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even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figures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reveal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loftiest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heights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soared.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2168D" w:rsidRPr="00C32803">
        <w:rPr>
          <w:rFonts w:ascii="Tahoma" w:hAnsi="Tahoma" w:cs="Tahoma"/>
          <w:sz w:val="28"/>
          <w:szCs w:val="28"/>
        </w:rPr>
        <w:t>over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30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clusters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number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activities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sustained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exceeds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1,000;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places,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total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several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thousand,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involving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B3A65" w:rsidRPr="00C32803">
        <w:rPr>
          <w:rFonts w:ascii="Tahoma" w:hAnsi="Tahoma" w:cs="Tahoma"/>
          <w:sz w:val="28"/>
          <w:szCs w:val="28"/>
        </w:rPr>
        <w:t>participation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B3A65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B3A65"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B3A65" w:rsidRPr="00C32803">
        <w:rPr>
          <w:rFonts w:ascii="Tahoma" w:hAnsi="Tahoma" w:cs="Tahoma"/>
          <w:sz w:val="28"/>
          <w:szCs w:val="28"/>
        </w:rPr>
        <w:t>than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2B3A65" w:rsidRPr="00C32803">
        <w:rPr>
          <w:rFonts w:ascii="Tahoma" w:hAnsi="Tahoma" w:cs="Tahoma"/>
          <w:sz w:val="28"/>
          <w:szCs w:val="28"/>
        </w:rPr>
        <w:t>20,000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people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single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cluster.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number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Local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Spiritual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Assemblies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oversee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unfoldment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educational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programmes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practically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children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junior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youth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village;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same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reality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beginning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emerge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few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urban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neighbourhoods.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Engagement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Revelation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Bahá’u’lláh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F1636" w:rsidRPr="00C32803">
        <w:rPr>
          <w:rFonts w:ascii="Tahoma" w:hAnsi="Tahoma" w:cs="Tahoma"/>
          <w:sz w:val="28"/>
          <w:szCs w:val="28"/>
        </w:rPr>
        <w:t>notable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instances,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transcended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individuals,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families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extended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kinships—what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witnessed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movement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populations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towards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centre.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times</w:t>
      </w:r>
      <w:r w:rsidR="004A404F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age-old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hostilities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between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opposing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groups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left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behind,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certain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social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structures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dynamics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transformed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light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divine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teachings.</w:t>
      </w:r>
    </w:p>
    <w:p w14:paraId="0088DC5D" w14:textId="65DCB531" w:rsidR="00CB66A1" w:rsidRPr="005D659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5F200BF7" w14:textId="5856EF7A" w:rsidR="002A6217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1</w:t>
      </w:r>
      <w:r w:rsidR="008773C2" w:rsidRPr="00C32803">
        <w:rPr>
          <w:rFonts w:ascii="Tahoma" w:hAnsi="Tahoma" w:cs="Tahoma"/>
          <w:sz w:val="28"/>
          <w:szCs w:val="28"/>
        </w:rPr>
        <w:t>8</w:t>
      </w:r>
    </w:p>
    <w:p w14:paraId="1D7A8A78" w14:textId="20B32956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cannot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overjoyed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advances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impressive.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society-building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power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Bahá’u’lláh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manifested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ever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clarity,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firm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foundation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upon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Nine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build.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Clusters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F2112A" w:rsidRPr="00C32803">
        <w:rPr>
          <w:rFonts w:ascii="Tahoma" w:hAnsi="Tahoma" w:cs="Tahoma"/>
          <w:sz w:val="28"/>
          <w:szCs w:val="28"/>
        </w:rPr>
        <w:t>marked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strength,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hoped,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proven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reservoirs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knowledge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resources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neighbours.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regions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A404F"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A404F" w:rsidRPr="00C32803">
        <w:rPr>
          <w:rFonts w:ascii="Tahoma" w:hAnsi="Tahoma" w:cs="Tahoma"/>
          <w:sz w:val="28"/>
          <w:szCs w:val="28"/>
        </w:rPr>
        <w:t>than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A404F" w:rsidRPr="00C32803">
        <w:rPr>
          <w:rFonts w:ascii="Tahoma" w:hAnsi="Tahoma" w:cs="Tahoma"/>
          <w:sz w:val="28"/>
          <w:szCs w:val="28"/>
        </w:rPr>
        <w:t>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806BB" w:rsidRPr="00C32803">
        <w:rPr>
          <w:rFonts w:ascii="Tahoma" w:hAnsi="Tahoma" w:cs="Tahoma"/>
          <w:sz w:val="28"/>
          <w:szCs w:val="28"/>
        </w:rPr>
        <w:t>such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cluster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exist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easily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developed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means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lastRenderedPageBreak/>
        <w:t>accelerate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cluster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after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cluster.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feel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compelled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stress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again,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however,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progress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universal</w:t>
      </w:r>
      <w:r w:rsidR="004A404F" w:rsidRPr="00C32803">
        <w:rPr>
          <w:rFonts w:ascii="Tahoma" w:hAnsi="Tahoma" w:cs="Tahoma"/>
          <w:sz w:val="28"/>
          <w:szCs w:val="28"/>
        </w:rPr>
        <w:t>;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difference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progress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between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another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degree.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community’s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collective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understanding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entry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troops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confidence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stimulate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under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circumstances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risen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levels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unimaginable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decades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past.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profound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questions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loomed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long,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brought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sharp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focus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1996,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convincingly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answered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generation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believers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entire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lives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imprint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E4272" w:rsidRPr="00C32803">
        <w:rPr>
          <w:rFonts w:ascii="Tahoma" w:hAnsi="Tahoma" w:cs="Tahoma"/>
          <w:sz w:val="28"/>
          <w:szCs w:val="28"/>
        </w:rPr>
        <w:t>community’s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progress.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But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sheer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scale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E4272" w:rsidRPr="00C32803">
        <w:rPr>
          <w:rFonts w:ascii="Tahoma" w:hAnsi="Tahoma" w:cs="Tahoma"/>
          <w:sz w:val="28"/>
          <w:szCs w:val="28"/>
        </w:rPr>
        <w:t>what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E4272"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occurred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clusters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frontiers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learning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extended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turned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significant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advance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process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entry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troops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momentous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historic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proportions.</w:t>
      </w:r>
    </w:p>
    <w:p w14:paraId="011ED74B" w14:textId="2F4AFD6A" w:rsidR="00CB66A1" w:rsidRPr="005D659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6AE89D41" w14:textId="6EF52525" w:rsidR="002A6217" w:rsidRPr="00C32803" w:rsidRDefault="002A6217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1</w:t>
      </w:r>
      <w:r w:rsidR="008773C2" w:rsidRPr="00C32803">
        <w:rPr>
          <w:rFonts w:ascii="Tahoma" w:hAnsi="Tahoma" w:cs="Tahoma"/>
          <w:sz w:val="28"/>
          <w:szCs w:val="28"/>
        </w:rPr>
        <w:t>9</w:t>
      </w:r>
    </w:p>
    <w:p w14:paraId="173611FB" w14:textId="5DDA6610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Many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familiar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Guardian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divided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Ages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consecutive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epochs;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fifth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epoch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Formative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began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2001.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Less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known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Guardian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made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specific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reference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epochs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Divine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stages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epochs.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Held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abeyance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two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decades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local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organs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Administrative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Order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raised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up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strengthened,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Divine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conceived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‘Abdu’l-Bahá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formally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inaugurated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1937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commencement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first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stage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first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epoch</w:t>
      </w:r>
      <w:r w:rsidR="000F7AD0" w:rsidRPr="00C32803">
        <w:rPr>
          <w:rFonts w:ascii="Tahoma" w:hAnsi="Tahoma" w:cs="Tahoma"/>
          <w:sz w:val="28"/>
          <w:szCs w:val="28"/>
        </w:rPr>
        <w:t>: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proofErr w:type="gramStart"/>
      <w:r w:rsidRPr="00C32803">
        <w:rPr>
          <w:rFonts w:ascii="Tahoma" w:hAnsi="Tahoma" w:cs="Tahoma"/>
          <w:sz w:val="28"/>
          <w:szCs w:val="28"/>
        </w:rPr>
        <w:t>the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Seven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assigned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Guardian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North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American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DC7E1D"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first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epoch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closed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after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conclusion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Ten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Crusade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1963</w:t>
      </w:r>
      <w:r w:rsidR="00DC7E1D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resulted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banner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Faith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planted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across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world.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DC7E1D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opening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stage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AE2761" w:rsidRPr="00C32803">
        <w:rPr>
          <w:rFonts w:ascii="Tahoma" w:hAnsi="Tahoma" w:cs="Tahoma"/>
          <w:sz w:val="28"/>
          <w:szCs w:val="28"/>
        </w:rPr>
        <w:t>second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C7E1D" w:rsidRPr="00C32803">
        <w:rPr>
          <w:rFonts w:ascii="Tahoma" w:hAnsi="Tahoma" w:cs="Tahoma"/>
          <w:sz w:val="28"/>
          <w:szCs w:val="28"/>
        </w:rPr>
        <w:t>epoch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first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0F7AD0" w:rsidRPr="00C32803">
        <w:rPr>
          <w:rFonts w:ascii="Tahoma" w:hAnsi="Tahoma" w:cs="Tahoma"/>
          <w:sz w:val="28"/>
          <w:szCs w:val="28"/>
        </w:rPr>
        <w:t>Plans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followed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wake,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Plans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ranged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duration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twelve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months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seven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dawn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second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epoch</w:t>
      </w:r>
      <w:r w:rsidR="005806BB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already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witnessing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earliest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beginnings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entry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806BB" w:rsidRPr="00C32803">
        <w:rPr>
          <w:rFonts w:ascii="Tahoma" w:hAnsi="Tahoma" w:cs="Tahoma"/>
          <w:sz w:val="28"/>
          <w:szCs w:val="28"/>
        </w:rPr>
        <w:t>F</w:t>
      </w:r>
      <w:r w:rsidRPr="00C32803">
        <w:rPr>
          <w:rFonts w:ascii="Tahoma" w:hAnsi="Tahoma" w:cs="Tahoma"/>
          <w:sz w:val="28"/>
          <w:szCs w:val="28"/>
        </w:rPr>
        <w:t>aith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troops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foreseen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Author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Divine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Plan;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E4272" w:rsidRPr="00C32803">
        <w:rPr>
          <w:rFonts w:ascii="Tahoma" w:hAnsi="Tahoma" w:cs="Tahoma"/>
          <w:sz w:val="28"/>
          <w:szCs w:val="28"/>
        </w:rPr>
        <w:t>succeed</w:t>
      </w:r>
      <w:r w:rsidRPr="00C32803">
        <w:rPr>
          <w:rFonts w:ascii="Tahoma" w:hAnsi="Tahoma" w:cs="Tahoma"/>
          <w:sz w:val="28"/>
          <w:szCs w:val="28"/>
        </w:rPr>
        <w:t>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decades,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generations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devoted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believers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Greatest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Name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laboured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0F7AD0" w:rsidRPr="00C32803">
        <w:rPr>
          <w:rFonts w:ascii="Tahoma" w:hAnsi="Tahoma" w:cs="Tahoma"/>
          <w:sz w:val="28"/>
          <w:szCs w:val="28"/>
        </w:rPr>
        <w:t>D</w:t>
      </w:r>
      <w:r w:rsidRPr="00C32803">
        <w:rPr>
          <w:rFonts w:ascii="Tahoma" w:hAnsi="Tahoma" w:cs="Tahoma"/>
          <w:sz w:val="28"/>
          <w:szCs w:val="28"/>
        </w:rPr>
        <w:t>ivine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Vineyard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cultivate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conditions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required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sustained,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large-scale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growth.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glorious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season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Riḍván,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abundant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fruits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labours!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phenomenon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sizeable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numbers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swelling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activities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community,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catching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spark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faith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swiftly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arising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serve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leading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edge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moved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forecast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sustained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recurring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reality.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Such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pronounced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demonstrable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advance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demands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marked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annals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4A404F" w:rsidRPr="00C32803">
        <w:rPr>
          <w:rFonts w:ascii="Tahoma" w:hAnsi="Tahoma" w:cs="Tahoma"/>
          <w:sz w:val="28"/>
          <w:szCs w:val="28"/>
        </w:rPr>
        <w:t>Cause</w:t>
      </w:r>
      <w:r w:rsidRPr="00C32803">
        <w:rPr>
          <w:rFonts w:ascii="Tahoma" w:hAnsi="Tahoma" w:cs="Tahoma"/>
          <w:sz w:val="28"/>
          <w:szCs w:val="28"/>
        </w:rPr>
        <w:t>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elated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hearts,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announce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third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epoch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Master’s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Divine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begun.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Stage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stage,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epoch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after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epoch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shall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unfold,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until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light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Kingdom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illumines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every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heart.</w:t>
      </w:r>
    </w:p>
    <w:p w14:paraId="20ABE26D" w14:textId="7B83409B" w:rsidR="005D6593" w:rsidRDefault="00CB66A1" w:rsidP="005D6593">
      <w:pPr>
        <w:pStyle w:val="BWCBodyText"/>
        <w:spacing w:line="240" w:lineRule="auto"/>
        <w:ind w:firstLine="0"/>
        <w:jc w:val="center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*</w:t>
      </w:r>
      <w:r w:rsidR="005D6593">
        <w:rPr>
          <w:rFonts w:ascii="Tahoma" w:hAnsi="Tahoma" w:cs="Tahoma"/>
          <w:sz w:val="28"/>
          <w:szCs w:val="28"/>
        </w:rPr>
        <w:br w:type="page"/>
      </w:r>
    </w:p>
    <w:p w14:paraId="0C6B24C6" w14:textId="1EB1A8F8" w:rsidR="008773C2" w:rsidRPr="00C32803" w:rsidRDefault="008773C2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lastRenderedPageBreak/>
        <w:t>20</w:t>
      </w:r>
    </w:p>
    <w:p w14:paraId="467A0D43" w14:textId="5F347CA0" w:rsidR="00CB66A1" w:rsidRPr="00C32803" w:rsidRDefault="004A404F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Beloved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friends,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</w:t>
      </w:r>
      <w:r w:rsidR="00CB66A1" w:rsidRPr="00C32803">
        <w:rPr>
          <w:rFonts w:ascii="Tahoma" w:hAnsi="Tahoma" w:cs="Tahoma"/>
          <w:sz w:val="28"/>
          <w:szCs w:val="28"/>
        </w:rPr>
        <w:t>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review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five-year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enterprise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concluded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second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epoch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Divine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Plan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complete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without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special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reference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upheavals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accompanied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final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CB66A1" w:rsidRPr="00C32803">
        <w:rPr>
          <w:rFonts w:ascii="Tahoma" w:hAnsi="Tahoma" w:cs="Tahoma"/>
          <w:sz w:val="28"/>
          <w:szCs w:val="28"/>
        </w:rPr>
        <w:t>year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433D3"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persist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still.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restrictions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personal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interaction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waxed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waned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most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countries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over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period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could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dealt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community’s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collective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efforts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severe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blow,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recovery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from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might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83458A"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take</w:t>
      </w:r>
      <w:r w:rsidR="0083458A" w:rsidRPr="00C32803">
        <w:rPr>
          <w:rFonts w:ascii="Tahoma" w:hAnsi="Tahoma" w:cs="Tahoma"/>
          <w:sz w:val="28"/>
          <w:szCs w:val="28"/>
        </w:rPr>
        <w:t>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years,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but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two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reasons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why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not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case.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CB66A1" w:rsidRPr="00C32803">
        <w:rPr>
          <w:rFonts w:ascii="Tahoma" w:hAnsi="Tahoma" w:cs="Tahoma"/>
          <w:sz w:val="28"/>
          <w:szCs w:val="28"/>
        </w:rPr>
        <w:t>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widespread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consciousness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duty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Bahá’ís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serve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humanity,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never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times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peril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E4272" w:rsidRPr="00C32803">
        <w:rPr>
          <w:rFonts w:ascii="Tahoma" w:hAnsi="Tahoma" w:cs="Tahoma"/>
          <w:sz w:val="28"/>
          <w:szCs w:val="28"/>
        </w:rPr>
        <w:t>adversity</w:t>
      </w:r>
      <w:r w:rsidR="00CB66A1" w:rsidRPr="00C32803">
        <w:rPr>
          <w:rFonts w:ascii="Tahoma" w:hAnsi="Tahoma" w:cs="Tahoma"/>
          <w:sz w:val="28"/>
          <w:szCs w:val="28"/>
        </w:rPr>
        <w:t>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B2168D" w:rsidRPr="00C32803">
        <w:rPr>
          <w:rFonts w:ascii="Tahoma" w:hAnsi="Tahoma" w:cs="Tahoma"/>
          <w:sz w:val="28"/>
          <w:szCs w:val="28"/>
        </w:rPr>
        <w:t>other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was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extraordinary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rise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capacity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give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expression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consciousness.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CB66A1" w:rsidRPr="00C32803">
        <w:rPr>
          <w:rFonts w:ascii="Tahoma" w:hAnsi="Tahoma" w:cs="Tahoma"/>
          <w:sz w:val="28"/>
          <w:szCs w:val="28"/>
        </w:rPr>
        <w:t>Accustomed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over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many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years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adopting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patterns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systematic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action,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friends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brought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creativity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sense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purpose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bear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unforeseen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crisis,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while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ensuring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new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approaches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developed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coherent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framework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had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laboured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E4272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E4272" w:rsidRPr="00C32803">
        <w:rPr>
          <w:rFonts w:ascii="Tahoma" w:hAnsi="Tahoma" w:cs="Tahoma"/>
          <w:sz w:val="28"/>
          <w:szCs w:val="28"/>
        </w:rPr>
        <w:t>successive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E4272" w:rsidRPr="00C32803">
        <w:rPr>
          <w:rFonts w:ascii="Tahoma" w:hAnsi="Tahoma" w:cs="Tahoma"/>
          <w:sz w:val="28"/>
          <w:szCs w:val="28"/>
        </w:rPr>
        <w:t>Plans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perfect.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CB66A1"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not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overlook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serious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hardships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433D3" w:rsidRPr="00C32803">
        <w:rPr>
          <w:rFonts w:ascii="Tahoma" w:hAnsi="Tahoma" w:cs="Tahoma"/>
          <w:sz w:val="28"/>
          <w:szCs w:val="28"/>
        </w:rPr>
        <w:t>being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endured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Bahá’ís</w:t>
      </w:r>
      <w:r w:rsidR="0083458A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3529A3" w:rsidRPr="00C32803">
        <w:rPr>
          <w:rFonts w:ascii="Tahoma" w:hAnsi="Tahoma" w:cs="Tahoma"/>
          <w:sz w:val="28"/>
          <w:szCs w:val="28"/>
        </w:rPr>
        <w:t>like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compatriots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every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land</w:t>
      </w:r>
      <w:r w:rsidR="005433D3" w:rsidRPr="00C32803">
        <w:rPr>
          <w:rFonts w:ascii="Tahoma" w:hAnsi="Tahoma" w:cs="Tahoma"/>
          <w:sz w:val="28"/>
          <w:szCs w:val="28"/>
        </w:rPr>
        <w:t>;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433D3" w:rsidRPr="00C32803">
        <w:rPr>
          <w:rFonts w:ascii="Tahoma" w:hAnsi="Tahoma" w:cs="Tahoma"/>
          <w:sz w:val="28"/>
          <w:szCs w:val="28"/>
        </w:rPr>
        <w:t>ye</w:t>
      </w:r>
      <w:r w:rsidR="00CB66A1" w:rsidRPr="00C32803">
        <w:rPr>
          <w:rFonts w:ascii="Tahoma" w:hAnsi="Tahoma" w:cs="Tahoma"/>
          <w:sz w:val="28"/>
          <w:szCs w:val="28"/>
        </w:rPr>
        <w:t>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433D3" w:rsidRPr="00C32803">
        <w:rPr>
          <w:rFonts w:ascii="Tahoma" w:hAnsi="Tahoma" w:cs="Tahoma"/>
          <w:sz w:val="28"/>
          <w:szCs w:val="28"/>
        </w:rPr>
        <w:t>throughout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433D3" w:rsidRPr="00C32803">
        <w:rPr>
          <w:rFonts w:ascii="Tahoma" w:hAnsi="Tahoma" w:cs="Tahoma"/>
          <w:sz w:val="28"/>
          <w:szCs w:val="28"/>
        </w:rPr>
        <w:t>severe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difficulties,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believers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433D3"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remained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focused.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CB66A1" w:rsidRPr="00C32803">
        <w:rPr>
          <w:rFonts w:ascii="Tahoma" w:hAnsi="Tahoma" w:cs="Tahoma"/>
          <w:sz w:val="28"/>
          <w:szCs w:val="28"/>
        </w:rPr>
        <w:t>Resources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433D3"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433D3"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channelled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communities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need</w:t>
      </w:r>
      <w:r w:rsidR="0083458A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elections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732417" w:rsidRPr="00C32803">
        <w:rPr>
          <w:rFonts w:ascii="Tahoma" w:hAnsi="Tahoma" w:cs="Tahoma"/>
          <w:sz w:val="28"/>
          <w:szCs w:val="28"/>
        </w:rPr>
        <w:t>ahead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wherever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possible,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circumstances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institutions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Cause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433D3"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3529A3" w:rsidRPr="00C32803">
        <w:rPr>
          <w:rFonts w:ascii="Tahoma" w:hAnsi="Tahoma" w:cs="Tahoma"/>
          <w:sz w:val="28"/>
          <w:szCs w:val="28"/>
        </w:rPr>
        <w:t>continued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3529A3"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3529A3" w:rsidRPr="00C32803">
        <w:rPr>
          <w:rFonts w:ascii="Tahoma" w:hAnsi="Tahoma" w:cs="Tahoma"/>
          <w:sz w:val="28"/>
          <w:szCs w:val="28"/>
        </w:rPr>
        <w:t>discharge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their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duties.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CB66A1" w:rsidRPr="00C32803">
        <w:rPr>
          <w:rFonts w:ascii="Tahoma" w:hAnsi="Tahoma" w:cs="Tahoma"/>
          <w:sz w:val="28"/>
          <w:szCs w:val="28"/>
        </w:rPr>
        <w:t>There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433D3"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even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5433D3"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bold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steps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forward.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National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Spiritual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Assembly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São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Tomé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Príncipe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will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re-established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Riḍván,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two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new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pillars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Universal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House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Justice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will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raised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up: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proofErr w:type="gramStart"/>
      <w:r w:rsidR="00CB66A1" w:rsidRPr="00C32803">
        <w:rPr>
          <w:rFonts w:ascii="Tahoma" w:hAnsi="Tahoma" w:cs="Tahoma"/>
          <w:sz w:val="28"/>
          <w:szCs w:val="28"/>
        </w:rPr>
        <w:t>the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National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Spiritual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Assembly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Croatia,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seat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Zagreb,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National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Spiritual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Assembly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Timor-Leste,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seat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CB66A1" w:rsidRPr="00C32803">
        <w:rPr>
          <w:rFonts w:ascii="Tahoma" w:hAnsi="Tahoma" w:cs="Tahoma"/>
          <w:sz w:val="28"/>
          <w:szCs w:val="28"/>
        </w:rPr>
        <w:t>Dili.</w:t>
      </w:r>
    </w:p>
    <w:p w14:paraId="535B9516" w14:textId="082D4675" w:rsidR="00CB66A1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4BF4BD76" w14:textId="0A6F03D9" w:rsidR="008773C2" w:rsidRPr="00C32803" w:rsidRDefault="008773C2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21</w:t>
      </w:r>
    </w:p>
    <w:p w14:paraId="2F27BE1F" w14:textId="7D319758" w:rsidR="003529A3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so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begins.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purpose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requirements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already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out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our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message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Day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Covenant;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FC24DA"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FC24DA" w:rsidRPr="00C32803">
        <w:rPr>
          <w:rFonts w:ascii="Tahoma" w:hAnsi="Tahoma" w:cs="Tahoma"/>
          <w:sz w:val="28"/>
          <w:szCs w:val="28"/>
        </w:rPr>
        <w:t>Pla</w:t>
      </w:r>
      <w:r w:rsidR="003529A3" w:rsidRPr="00C32803">
        <w:rPr>
          <w:rFonts w:ascii="Tahoma" w:hAnsi="Tahoma" w:cs="Tahoma"/>
          <w:sz w:val="28"/>
          <w:szCs w:val="28"/>
        </w:rPr>
        <w:t>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3529A3" w:rsidRPr="00C32803">
        <w:rPr>
          <w:rFonts w:ascii="Tahoma" w:hAnsi="Tahoma" w:cs="Tahoma"/>
          <w:sz w:val="28"/>
          <w:szCs w:val="28"/>
        </w:rPr>
        <w:t>though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3529A3" w:rsidRPr="00C32803">
        <w:rPr>
          <w:rFonts w:ascii="Tahoma" w:hAnsi="Tahoma" w:cs="Tahoma"/>
          <w:sz w:val="28"/>
          <w:szCs w:val="28"/>
        </w:rPr>
        <w:t>brief,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suffice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prepare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Bahá’í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Nine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follow.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bookmarkStart w:id="8" w:name="_Hlk68005057"/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period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special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potency,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which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opened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hundred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after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revelation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Tablets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Divine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will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with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centenary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Ascension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‘Abdu’l-Bahá,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marking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conclusion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first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century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Formative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="00DE4272" w:rsidRPr="00C32803">
        <w:rPr>
          <w:rFonts w:ascii="Tahoma" w:hAnsi="Tahoma" w:cs="Tahoma"/>
          <w:sz w:val="28"/>
          <w:szCs w:val="28"/>
        </w:rPr>
        <w:t>start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second.</w:t>
      </w:r>
      <w:bookmarkEnd w:id="8"/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company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faithful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time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when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humanity,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chastened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exposure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vulnerability,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seems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conscious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collaboration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address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global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challenges.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bookmarkStart w:id="9" w:name="_Hlk66186321"/>
      <w:r w:rsidRPr="00C32803">
        <w:rPr>
          <w:rFonts w:ascii="Tahoma" w:hAnsi="Tahoma" w:cs="Tahoma"/>
          <w:sz w:val="28"/>
          <w:szCs w:val="28"/>
        </w:rPr>
        <w:t>Yet</w:t>
      </w:r>
      <w:r w:rsidR="003529A3" w:rsidRPr="00C32803">
        <w:rPr>
          <w:rFonts w:ascii="Tahoma" w:hAnsi="Tahoma" w:cs="Tahoma"/>
          <w:sz w:val="28"/>
          <w:szCs w:val="28"/>
        </w:rPr>
        <w:t>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lingering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habits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contest,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self-interest,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C32803">
        <w:rPr>
          <w:rFonts w:ascii="Tahoma" w:hAnsi="Tahoma" w:cs="Tahoma"/>
          <w:sz w:val="28"/>
          <w:szCs w:val="28"/>
        </w:rPr>
        <w:t>prejudice</w:t>
      </w:r>
      <w:proofErr w:type="gramEnd"/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close</w:t>
      </w:r>
      <w:r w:rsidR="0088524A" w:rsidRPr="00C32803">
        <w:rPr>
          <w:rFonts w:ascii="Tahoma" w:hAnsi="Tahoma" w:cs="Tahoma"/>
          <w:sz w:val="28"/>
          <w:szCs w:val="28"/>
        </w:rPr>
        <w:t>d</w:t>
      </w:r>
      <w:r w:rsidRPr="00C32803">
        <w:rPr>
          <w:rFonts w:ascii="Tahoma" w:hAnsi="Tahoma" w:cs="Tahoma"/>
          <w:sz w:val="28"/>
          <w:szCs w:val="28"/>
        </w:rPr>
        <w:t>-mindedness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continue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hinder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movement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towards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unity,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despite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growing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numbers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society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showing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deeds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they,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too,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yearn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greater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acceptance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humanity’s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inherent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oneness.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pray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family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nations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succeed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putting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aside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differences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interests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common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good.</w:t>
      </w:r>
      <w:bookmarkEnd w:id="9"/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Notwithstanding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uncertainties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shroud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months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ahead,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entreat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lastRenderedPageBreak/>
        <w:t>Bahá’u’lláh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make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confirmations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have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sustained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followers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so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long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abundant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still,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that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you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may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carried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forward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your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mission,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your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composure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undisturbed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by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turbulence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world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whose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need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for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healing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message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ever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more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acute.</w:t>
      </w:r>
    </w:p>
    <w:p w14:paraId="2919241C" w14:textId="2E231A39" w:rsidR="003529A3" w:rsidRPr="00C32803" w:rsidRDefault="003529A3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13B1CD8F" w14:textId="137B83C8" w:rsidR="008773C2" w:rsidRPr="00C32803" w:rsidRDefault="008773C2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22</w:t>
      </w:r>
    </w:p>
    <w:p w14:paraId="2C6C94E1" w14:textId="531F5267" w:rsidR="00350FA4" w:rsidRPr="00C32803" w:rsidRDefault="00CB66A1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Divine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Plan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enters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epoch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and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a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new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stage.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page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is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turned.</w:t>
      </w:r>
      <w:bookmarkEnd w:id="4"/>
    </w:p>
    <w:p w14:paraId="5857B85D" w14:textId="29E9CFC1" w:rsidR="006272BE" w:rsidRPr="00C32803" w:rsidRDefault="006272BE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09D3D5D1" w14:textId="1EBE56F8" w:rsidR="006272BE" w:rsidRPr="00C32803" w:rsidRDefault="006272BE" w:rsidP="002A6217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071B29BC" w14:textId="4A2F3AC3" w:rsidR="006272BE" w:rsidRPr="00C32803" w:rsidRDefault="006272BE" w:rsidP="008773C2">
      <w:pPr>
        <w:pStyle w:val="BWCBodyText"/>
        <w:spacing w:line="240" w:lineRule="auto"/>
        <w:ind w:firstLine="0"/>
        <w:jc w:val="right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>[signed:</w:t>
      </w:r>
      <w:r w:rsidR="002A6217" w:rsidRPr="00C32803">
        <w:rPr>
          <w:rFonts w:ascii="Tahoma" w:hAnsi="Tahoma" w:cs="Tahoma"/>
          <w:sz w:val="28"/>
          <w:szCs w:val="28"/>
        </w:rPr>
        <w:t xml:space="preserve">  </w:t>
      </w:r>
      <w:r w:rsidRPr="00C32803">
        <w:rPr>
          <w:rFonts w:ascii="Tahoma" w:hAnsi="Tahoma" w:cs="Tahoma"/>
          <w:sz w:val="28"/>
          <w:szCs w:val="28"/>
        </w:rPr>
        <w:t>The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Universal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House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of</w:t>
      </w:r>
      <w:r w:rsidR="002A6217" w:rsidRPr="00C32803">
        <w:rPr>
          <w:rFonts w:ascii="Tahoma" w:hAnsi="Tahoma" w:cs="Tahoma"/>
          <w:sz w:val="28"/>
          <w:szCs w:val="28"/>
        </w:rPr>
        <w:t xml:space="preserve"> </w:t>
      </w:r>
      <w:r w:rsidRPr="00C32803">
        <w:rPr>
          <w:rFonts w:ascii="Tahoma" w:hAnsi="Tahoma" w:cs="Tahoma"/>
          <w:sz w:val="28"/>
          <w:szCs w:val="28"/>
        </w:rPr>
        <w:t>Justice]</w:t>
      </w:r>
    </w:p>
    <w:p w14:paraId="4A3AF1F4" w14:textId="77777777" w:rsidR="008C3D62" w:rsidRPr="00C32803" w:rsidRDefault="008C3D62" w:rsidP="008C3D62">
      <w:pPr>
        <w:pStyle w:val="BWCBodyText"/>
        <w:pBdr>
          <w:bottom w:val="single" w:sz="6" w:space="1" w:color="auto"/>
        </w:pBdr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2BE85CEA" w14:textId="77777777" w:rsidR="008C3D62" w:rsidRPr="00C32803" w:rsidRDefault="008C3D62" w:rsidP="008C3D62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28781A5F" w14:textId="4DF0DA02" w:rsidR="00997A01" w:rsidRPr="00C32803" w:rsidRDefault="00997A01" w:rsidP="008C3D62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 xml:space="preserve">[Downloaded from </w:t>
      </w:r>
      <w:hyperlink r:id="rId7" w:anchor="20210420_001" w:history="1">
        <w:r w:rsidRPr="00C32803">
          <w:rPr>
            <w:rStyle w:val="Hyperlink"/>
            <w:rFonts w:ascii="Tahoma" w:hAnsi="Tahoma" w:cs="Tahoma"/>
            <w:sz w:val="28"/>
            <w:szCs w:val="28"/>
          </w:rPr>
          <w:t>https://www.bahai.org/library/authoritative-texts/the-universal-house-of-justice/messages/#20210420_001</w:t>
        </w:r>
      </w:hyperlink>
      <w:r w:rsidRPr="00C32803">
        <w:rPr>
          <w:rFonts w:ascii="Tahoma" w:hAnsi="Tahoma" w:cs="Tahoma"/>
          <w:sz w:val="28"/>
          <w:szCs w:val="28"/>
        </w:rPr>
        <w:t xml:space="preserve"> </w:t>
      </w:r>
      <w:r w:rsidR="008C3D62" w:rsidRPr="00C32803">
        <w:rPr>
          <w:rFonts w:ascii="Tahoma" w:hAnsi="Tahoma" w:cs="Tahoma"/>
          <w:sz w:val="28"/>
          <w:szCs w:val="28"/>
        </w:rPr>
        <w:t>and modified to add paragraph numbers to match Thai translation]</w:t>
      </w:r>
    </w:p>
    <w:p w14:paraId="6FC470BD" w14:textId="5E260209" w:rsidR="008C3D62" w:rsidRPr="00C32803" w:rsidRDefault="008C3D62" w:rsidP="008C3D62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01A85C33" w14:textId="77777777" w:rsidR="008C3D62" w:rsidRPr="00C32803" w:rsidRDefault="008C3D62" w:rsidP="008C3D62">
      <w:pPr>
        <w:pStyle w:val="BWCBodyText"/>
        <w:spacing w:line="240" w:lineRule="auto"/>
        <w:ind w:firstLine="0"/>
        <w:rPr>
          <w:rFonts w:ascii="Tahoma" w:hAnsi="Tahoma" w:cs="Tahoma"/>
          <w:sz w:val="28"/>
          <w:szCs w:val="28"/>
        </w:rPr>
      </w:pPr>
    </w:p>
    <w:p w14:paraId="342725D4" w14:textId="5D9473F1" w:rsidR="008C3D62" w:rsidRPr="00C32803" w:rsidRDefault="008C3D62" w:rsidP="008C3D62">
      <w:pPr>
        <w:pStyle w:val="BWCBodyText"/>
        <w:spacing w:line="240" w:lineRule="auto"/>
        <w:ind w:firstLine="0"/>
        <w:rPr>
          <w:rFonts w:ascii="Tahoma" w:hAnsi="Tahoma" w:cs="Tahoma"/>
          <w:sz w:val="28"/>
          <w:szCs w:val="28"/>
        </w:rPr>
      </w:pPr>
      <w:r w:rsidRPr="00C32803">
        <w:rPr>
          <w:rFonts w:ascii="Tahoma" w:hAnsi="Tahoma" w:cs="Tahoma"/>
          <w:sz w:val="28"/>
          <w:szCs w:val="28"/>
        </w:rPr>
        <w:t xml:space="preserve">This document has been downloaded from the </w:t>
      </w:r>
      <w:hyperlink r:id="rId8" w:history="1">
        <w:r w:rsidRPr="00C32803">
          <w:rPr>
            <w:rStyle w:val="Hyperlink"/>
            <w:rFonts w:ascii="Tahoma" w:hAnsi="Tahoma" w:cs="Tahoma"/>
            <w:sz w:val="28"/>
            <w:szCs w:val="28"/>
          </w:rPr>
          <w:t>Bahá’í Reference Library</w:t>
        </w:r>
      </w:hyperlink>
      <w:r w:rsidRPr="00C32803">
        <w:rPr>
          <w:rFonts w:ascii="Tahoma" w:hAnsi="Tahoma" w:cs="Tahoma"/>
          <w:sz w:val="28"/>
          <w:szCs w:val="28"/>
        </w:rPr>
        <w:t xml:space="preserve">. You are free to use its content subject to the terms of use found at </w:t>
      </w:r>
      <w:hyperlink r:id="rId9" w:history="1">
        <w:r w:rsidRPr="00C32803">
          <w:rPr>
            <w:rStyle w:val="Hyperlink"/>
            <w:rFonts w:ascii="Tahoma" w:hAnsi="Tahoma" w:cs="Tahoma"/>
            <w:sz w:val="28"/>
            <w:szCs w:val="28"/>
          </w:rPr>
          <w:t>www.bahai.org/legal</w:t>
        </w:r>
      </w:hyperlink>
      <w:r w:rsidRPr="00C32803">
        <w:rPr>
          <w:rFonts w:ascii="Tahoma" w:hAnsi="Tahoma" w:cs="Tahoma"/>
          <w:sz w:val="28"/>
          <w:szCs w:val="28"/>
        </w:rPr>
        <w:t xml:space="preserve"> </w:t>
      </w:r>
    </w:p>
    <w:sectPr w:rsidR="008C3D62" w:rsidRPr="00C32803" w:rsidSect="00EA3083">
      <w:headerReference w:type="default" r:id="rId10"/>
      <w:footerReference w:type="first" r:id="rId11"/>
      <w:type w:val="continuous"/>
      <w:pgSz w:w="11906" w:h="16838" w:code="9"/>
      <w:pgMar w:top="1134" w:right="1134" w:bottom="113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595B" w14:textId="77777777" w:rsidR="002B5D40" w:rsidRDefault="002B5D40">
      <w:r>
        <w:separator/>
      </w:r>
    </w:p>
  </w:endnote>
  <w:endnote w:type="continuationSeparator" w:id="0">
    <w:p w14:paraId="3E028D6F" w14:textId="77777777" w:rsidR="002B5D40" w:rsidRDefault="002B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00E8" w14:textId="3E980443" w:rsidR="00C32803" w:rsidRPr="00C32803" w:rsidRDefault="00C32803" w:rsidP="00C32803">
    <w:pPr>
      <w:pStyle w:val="Footer"/>
      <w:jc w:val="center"/>
      <w:rPr>
        <w:rFonts w:ascii="Tahoma" w:hAnsi="Tahoma" w:cs="Tahoma"/>
        <w:sz w:val="24"/>
        <w:szCs w:val="24"/>
      </w:rPr>
    </w:pPr>
    <w:r w:rsidRPr="00C32803">
      <w:rPr>
        <w:rFonts w:ascii="Tahoma" w:hAnsi="Tahoma" w:cs="Tahoma"/>
        <w:sz w:val="24"/>
        <w:szCs w:val="24"/>
      </w:rPr>
      <w:t xml:space="preserve">Bahá’í World </w:t>
    </w:r>
    <w:proofErr w:type="gramStart"/>
    <w:r w:rsidRPr="00C32803">
      <w:rPr>
        <w:rFonts w:ascii="Tahoma" w:hAnsi="Tahoma" w:cs="Tahoma"/>
        <w:sz w:val="24"/>
        <w:szCs w:val="24"/>
      </w:rPr>
      <w:t>Centre .</w:t>
    </w:r>
    <w:proofErr w:type="gramEnd"/>
    <w:r w:rsidRPr="00C32803">
      <w:rPr>
        <w:rFonts w:ascii="Tahoma" w:hAnsi="Tahoma" w:cs="Tahoma"/>
        <w:sz w:val="24"/>
        <w:szCs w:val="24"/>
      </w:rPr>
      <w:t>● P.O. Box 155 ● 31001</w:t>
    </w:r>
    <w:r>
      <w:rPr>
        <w:rFonts w:ascii="Tahoma" w:hAnsi="Tahoma" w:cs="Tahoma"/>
        <w:sz w:val="24"/>
        <w:szCs w:val="24"/>
      </w:rPr>
      <w:t>01</w:t>
    </w:r>
    <w:r w:rsidRPr="00C32803">
      <w:rPr>
        <w:rFonts w:ascii="Tahoma" w:hAnsi="Tahoma" w:cs="Tahoma"/>
        <w:sz w:val="24"/>
        <w:szCs w:val="24"/>
      </w:rPr>
      <w:t xml:space="preserve"> Haifa, Israel</w:t>
    </w:r>
  </w:p>
  <w:p w14:paraId="5F8FEF72" w14:textId="4E74D495" w:rsidR="00C32803" w:rsidRPr="00C32803" w:rsidRDefault="00C32803" w:rsidP="00C32803">
    <w:pPr>
      <w:pStyle w:val="Footer"/>
      <w:jc w:val="center"/>
      <w:rPr>
        <w:rFonts w:ascii="Tahoma" w:hAnsi="Tahoma" w:cs="Tahoma"/>
        <w:sz w:val="24"/>
        <w:szCs w:val="24"/>
      </w:rPr>
    </w:pPr>
    <w:r w:rsidRPr="00C32803">
      <w:rPr>
        <w:rFonts w:ascii="Tahoma" w:hAnsi="Tahoma" w:cs="Tahoma"/>
        <w:sz w:val="24"/>
        <w:szCs w:val="24"/>
      </w:rPr>
      <w:t>Tel: 972 (4) 835 8358 ● Email: secretariat@bwc.org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D2DD" w14:textId="77777777" w:rsidR="002B5D40" w:rsidRDefault="002B5D40">
      <w:r>
        <w:separator/>
      </w:r>
    </w:p>
  </w:footnote>
  <w:footnote w:type="continuationSeparator" w:id="0">
    <w:p w14:paraId="404A33C0" w14:textId="77777777" w:rsidR="002B5D40" w:rsidRDefault="002B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2"/>
      <w:gridCol w:w="3212"/>
      <w:gridCol w:w="3214"/>
    </w:tblGrid>
    <w:tr w:rsidR="00F8704E" w:rsidRPr="00EA3083" w14:paraId="52E9C6D3" w14:textId="77777777" w:rsidTr="00096AB0">
      <w:tc>
        <w:tcPr>
          <w:tcW w:w="1666" w:type="pct"/>
        </w:tcPr>
        <w:p w14:paraId="28B0D15A" w14:textId="3DD7ADDD" w:rsidR="00F8704E" w:rsidRPr="00EA3083" w:rsidRDefault="00F8704E" w:rsidP="008773C2">
          <w:pPr>
            <w:pStyle w:val="BWCNormal"/>
            <w:tabs>
              <w:tab w:val="left" w:pos="4465"/>
            </w:tabs>
            <w:rPr>
              <w:rFonts w:ascii="Tahoma" w:hAnsi="Tahoma" w:cs="Tahoma"/>
              <w:sz w:val="24"/>
              <w:szCs w:val="24"/>
            </w:rPr>
          </w:pPr>
          <w:r w:rsidRPr="00EA3083">
            <w:rPr>
              <w:rFonts w:ascii="Tahoma" w:hAnsi="Tahoma" w:cs="Tahoma"/>
              <w:sz w:val="24"/>
              <w:szCs w:val="24"/>
            </w:rPr>
            <w:t>To the Bahá’ís of the World</w:t>
          </w:r>
        </w:p>
      </w:tc>
      <w:tc>
        <w:tcPr>
          <w:tcW w:w="1666" w:type="pct"/>
        </w:tcPr>
        <w:p w14:paraId="5422311C" w14:textId="05064289" w:rsidR="00F8704E" w:rsidRPr="00EA3083" w:rsidRDefault="00F8704E" w:rsidP="00F8704E">
          <w:pPr>
            <w:pStyle w:val="BWCNormal"/>
            <w:tabs>
              <w:tab w:val="left" w:pos="4465"/>
            </w:tabs>
            <w:jc w:val="center"/>
            <w:rPr>
              <w:rFonts w:ascii="Tahoma" w:hAnsi="Tahoma" w:cs="Tahoma"/>
              <w:sz w:val="24"/>
              <w:szCs w:val="24"/>
            </w:rPr>
          </w:pPr>
          <w:r w:rsidRPr="00EA3083">
            <w:rPr>
              <w:rStyle w:val="PageNumber"/>
              <w:rFonts w:ascii="Tahoma" w:hAnsi="Tahoma" w:cs="Tahoma"/>
              <w:sz w:val="24"/>
              <w:szCs w:val="24"/>
            </w:rPr>
            <w:fldChar w:fldCharType="begin"/>
          </w:r>
          <w:r w:rsidRPr="00EA3083">
            <w:rPr>
              <w:rStyle w:val="PageNumber"/>
              <w:rFonts w:ascii="Tahoma" w:hAnsi="Tahoma" w:cs="Tahoma"/>
              <w:sz w:val="24"/>
              <w:szCs w:val="24"/>
            </w:rPr>
            <w:instrText xml:space="preserve"> PAGE </w:instrText>
          </w:r>
          <w:r w:rsidRPr="00EA3083">
            <w:rPr>
              <w:rStyle w:val="PageNumber"/>
              <w:rFonts w:ascii="Tahoma" w:hAnsi="Tahoma" w:cs="Tahoma"/>
              <w:sz w:val="24"/>
              <w:szCs w:val="24"/>
            </w:rPr>
            <w:fldChar w:fldCharType="separate"/>
          </w:r>
          <w:r w:rsidRPr="00EA3083">
            <w:rPr>
              <w:rStyle w:val="PageNumber"/>
              <w:rFonts w:ascii="Tahoma" w:hAnsi="Tahoma" w:cs="Tahoma"/>
              <w:sz w:val="24"/>
              <w:szCs w:val="24"/>
            </w:rPr>
            <w:t>11</w:t>
          </w:r>
          <w:r w:rsidRPr="00EA3083">
            <w:rPr>
              <w:rStyle w:val="PageNumber"/>
              <w:rFonts w:ascii="Tahoma" w:hAnsi="Tahoma" w:cs="Tahoma"/>
              <w:sz w:val="24"/>
              <w:szCs w:val="24"/>
            </w:rPr>
            <w:fldChar w:fldCharType="end"/>
          </w:r>
        </w:p>
      </w:tc>
      <w:tc>
        <w:tcPr>
          <w:tcW w:w="1667" w:type="pct"/>
        </w:tcPr>
        <w:p w14:paraId="3EC2D172" w14:textId="77777777" w:rsidR="00F8704E" w:rsidRPr="00EA3083" w:rsidRDefault="00F8704E" w:rsidP="008773C2">
          <w:pPr>
            <w:pStyle w:val="BWCNormal"/>
            <w:jc w:val="right"/>
            <w:rPr>
              <w:rFonts w:ascii="Tahoma" w:hAnsi="Tahoma" w:cs="Tahoma"/>
              <w:sz w:val="24"/>
              <w:szCs w:val="24"/>
            </w:rPr>
          </w:pPr>
          <w:r w:rsidRPr="00EA3083">
            <w:rPr>
              <w:rFonts w:ascii="Tahoma" w:hAnsi="Tahoma" w:cs="Tahoma"/>
              <w:sz w:val="24"/>
              <w:szCs w:val="24"/>
            </w:rPr>
            <w:t>Riḍván 2021</w:t>
          </w:r>
        </w:p>
      </w:tc>
    </w:tr>
  </w:tbl>
  <w:p w14:paraId="1BD79458" w14:textId="77777777" w:rsidR="008773C2" w:rsidRPr="00EA3083" w:rsidRDefault="008773C2">
    <w:pPr>
      <w:pStyle w:val="Header"/>
      <w:rPr>
        <w:rFonts w:ascii="Tahoma" w:hAnsi="Tahoma" w:cs="Tahoma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4894C0DC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6B2869A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0"/>
  </w:num>
  <w:num w:numId="17">
    <w:abstractNumId w:val="2"/>
  </w:num>
  <w:num w:numId="18">
    <w:abstractNumId w:val="5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DF"/>
    <w:rsid w:val="00000777"/>
    <w:rsid w:val="00000EF7"/>
    <w:rsid w:val="000052AB"/>
    <w:rsid w:val="0001204B"/>
    <w:rsid w:val="00013E6A"/>
    <w:rsid w:val="0001612C"/>
    <w:rsid w:val="00017B12"/>
    <w:rsid w:val="000238FD"/>
    <w:rsid w:val="000241BF"/>
    <w:rsid w:val="000334D0"/>
    <w:rsid w:val="00033975"/>
    <w:rsid w:val="000360A6"/>
    <w:rsid w:val="00043F1B"/>
    <w:rsid w:val="000500EF"/>
    <w:rsid w:val="00062716"/>
    <w:rsid w:val="00063534"/>
    <w:rsid w:val="00067E55"/>
    <w:rsid w:val="00071303"/>
    <w:rsid w:val="00074753"/>
    <w:rsid w:val="000810DF"/>
    <w:rsid w:val="00083620"/>
    <w:rsid w:val="000840BA"/>
    <w:rsid w:val="00087EB1"/>
    <w:rsid w:val="00091EB0"/>
    <w:rsid w:val="00093A4F"/>
    <w:rsid w:val="00096AB0"/>
    <w:rsid w:val="000C0731"/>
    <w:rsid w:val="000C6D01"/>
    <w:rsid w:val="000D3EF4"/>
    <w:rsid w:val="000D5D8A"/>
    <w:rsid w:val="000E17A0"/>
    <w:rsid w:val="000E41E0"/>
    <w:rsid w:val="000E78D8"/>
    <w:rsid w:val="000F45B1"/>
    <w:rsid w:val="000F5B36"/>
    <w:rsid w:val="000F7AD0"/>
    <w:rsid w:val="001100AC"/>
    <w:rsid w:val="00113F4E"/>
    <w:rsid w:val="00117A17"/>
    <w:rsid w:val="00122CB2"/>
    <w:rsid w:val="00123E76"/>
    <w:rsid w:val="00124FE8"/>
    <w:rsid w:val="00125034"/>
    <w:rsid w:val="0012776C"/>
    <w:rsid w:val="00131B8C"/>
    <w:rsid w:val="001412D9"/>
    <w:rsid w:val="00141AA2"/>
    <w:rsid w:val="00147033"/>
    <w:rsid w:val="00147F15"/>
    <w:rsid w:val="001526FE"/>
    <w:rsid w:val="00161E48"/>
    <w:rsid w:val="00162635"/>
    <w:rsid w:val="001671D7"/>
    <w:rsid w:val="00170AEA"/>
    <w:rsid w:val="001817C2"/>
    <w:rsid w:val="0018510A"/>
    <w:rsid w:val="00197E75"/>
    <w:rsid w:val="001A0CC2"/>
    <w:rsid w:val="001B0812"/>
    <w:rsid w:val="001B4467"/>
    <w:rsid w:val="001B6AA0"/>
    <w:rsid w:val="001B6DFD"/>
    <w:rsid w:val="001C5570"/>
    <w:rsid w:val="001E02F5"/>
    <w:rsid w:val="001F21F3"/>
    <w:rsid w:val="001F24CD"/>
    <w:rsid w:val="001F3D49"/>
    <w:rsid w:val="00201440"/>
    <w:rsid w:val="002068D8"/>
    <w:rsid w:val="00213F9D"/>
    <w:rsid w:val="00215B49"/>
    <w:rsid w:val="00215D58"/>
    <w:rsid w:val="002200F6"/>
    <w:rsid w:val="00227DF0"/>
    <w:rsid w:val="00232FAD"/>
    <w:rsid w:val="00237245"/>
    <w:rsid w:val="002404A8"/>
    <w:rsid w:val="00250825"/>
    <w:rsid w:val="0025533C"/>
    <w:rsid w:val="0026346A"/>
    <w:rsid w:val="00265FD8"/>
    <w:rsid w:val="00267D3B"/>
    <w:rsid w:val="00272748"/>
    <w:rsid w:val="00274FEB"/>
    <w:rsid w:val="00285ED8"/>
    <w:rsid w:val="0029570D"/>
    <w:rsid w:val="002A6217"/>
    <w:rsid w:val="002B3A65"/>
    <w:rsid w:val="002B5D40"/>
    <w:rsid w:val="002B63F7"/>
    <w:rsid w:val="002C18F8"/>
    <w:rsid w:val="002C3C8F"/>
    <w:rsid w:val="002C5072"/>
    <w:rsid w:val="002D492C"/>
    <w:rsid w:val="002E54F6"/>
    <w:rsid w:val="002F054F"/>
    <w:rsid w:val="002F06D1"/>
    <w:rsid w:val="002F4980"/>
    <w:rsid w:val="00307902"/>
    <w:rsid w:val="003118EE"/>
    <w:rsid w:val="00312EF7"/>
    <w:rsid w:val="00315890"/>
    <w:rsid w:val="00316FCB"/>
    <w:rsid w:val="003207F3"/>
    <w:rsid w:val="003246D6"/>
    <w:rsid w:val="00330241"/>
    <w:rsid w:val="0033595F"/>
    <w:rsid w:val="00342696"/>
    <w:rsid w:val="00345A87"/>
    <w:rsid w:val="00350FA4"/>
    <w:rsid w:val="003529A3"/>
    <w:rsid w:val="00357371"/>
    <w:rsid w:val="003573F7"/>
    <w:rsid w:val="003650D3"/>
    <w:rsid w:val="003672BB"/>
    <w:rsid w:val="003708BA"/>
    <w:rsid w:val="00372F14"/>
    <w:rsid w:val="00377111"/>
    <w:rsid w:val="00383C1D"/>
    <w:rsid w:val="003906D3"/>
    <w:rsid w:val="00394FF0"/>
    <w:rsid w:val="00397D1B"/>
    <w:rsid w:val="003A222B"/>
    <w:rsid w:val="003C1CF5"/>
    <w:rsid w:val="003C5D5E"/>
    <w:rsid w:val="003C6553"/>
    <w:rsid w:val="003D7857"/>
    <w:rsid w:val="003E1E7C"/>
    <w:rsid w:val="003E2D56"/>
    <w:rsid w:val="003E5519"/>
    <w:rsid w:val="003E68AF"/>
    <w:rsid w:val="004015E8"/>
    <w:rsid w:val="00414E03"/>
    <w:rsid w:val="00425DDF"/>
    <w:rsid w:val="004404CE"/>
    <w:rsid w:val="004426FC"/>
    <w:rsid w:val="00442E03"/>
    <w:rsid w:val="004478F3"/>
    <w:rsid w:val="0045075C"/>
    <w:rsid w:val="00455648"/>
    <w:rsid w:val="00456802"/>
    <w:rsid w:val="0045792F"/>
    <w:rsid w:val="00461034"/>
    <w:rsid w:val="004706CE"/>
    <w:rsid w:val="004736F7"/>
    <w:rsid w:val="00473C5E"/>
    <w:rsid w:val="004758E0"/>
    <w:rsid w:val="00480742"/>
    <w:rsid w:val="004809D2"/>
    <w:rsid w:val="00481F6B"/>
    <w:rsid w:val="0048796A"/>
    <w:rsid w:val="00490CD5"/>
    <w:rsid w:val="0049411A"/>
    <w:rsid w:val="00495764"/>
    <w:rsid w:val="00496264"/>
    <w:rsid w:val="00496939"/>
    <w:rsid w:val="004A1BF5"/>
    <w:rsid w:val="004A404F"/>
    <w:rsid w:val="004B3B04"/>
    <w:rsid w:val="004C512E"/>
    <w:rsid w:val="004D28B5"/>
    <w:rsid w:val="004E19C9"/>
    <w:rsid w:val="004E1BBF"/>
    <w:rsid w:val="004E412C"/>
    <w:rsid w:val="004E4861"/>
    <w:rsid w:val="004E4A53"/>
    <w:rsid w:val="004E6E36"/>
    <w:rsid w:val="004F1636"/>
    <w:rsid w:val="005018A2"/>
    <w:rsid w:val="00504C14"/>
    <w:rsid w:val="005078BE"/>
    <w:rsid w:val="00516030"/>
    <w:rsid w:val="00516388"/>
    <w:rsid w:val="00516A76"/>
    <w:rsid w:val="0052531F"/>
    <w:rsid w:val="005419BD"/>
    <w:rsid w:val="00541F7C"/>
    <w:rsid w:val="005433D3"/>
    <w:rsid w:val="00545C59"/>
    <w:rsid w:val="00557601"/>
    <w:rsid w:val="005613A9"/>
    <w:rsid w:val="005806BB"/>
    <w:rsid w:val="005858F9"/>
    <w:rsid w:val="00586EE5"/>
    <w:rsid w:val="0059252B"/>
    <w:rsid w:val="0059461D"/>
    <w:rsid w:val="005960CE"/>
    <w:rsid w:val="005A267B"/>
    <w:rsid w:val="005B2EFC"/>
    <w:rsid w:val="005C36A4"/>
    <w:rsid w:val="005C3F64"/>
    <w:rsid w:val="005C4600"/>
    <w:rsid w:val="005C4CA8"/>
    <w:rsid w:val="005C5356"/>
    <w:rsid w:val="005C7908"/>
    <w:rsid w:val="005D0226"/>
    <w:rsid w:val="005D083B"/>
    <w:rsid w:val="005D15FB"/>
    <w:rsid w:val="005D2026"/>
    <w:rsid w:val="005D23C2"/>
    <w:rsid w:val="005D338B"/>
    <w:rsid w:val="005D35AE"/>
    <w:rsid w:val="005D44F2"/>
    <w:rsid w:val="005D4C03"/>
    <w:rsid w:val="005D6593"/>
    <w:rsid w:val="005D685C"/>
    <w:rsid w:val="005E1154"/>
    <w:rsid w:val="005E1D04"/>
    <w:rsid w:val="005E39E2"/>
    <w:rsid w:val="005E77B4"/>
    <w:rsid w:val="005F2A10"/>
    <w:rsid w:val="005F4735"/>
    <w:rsid w:val="006027D7"/>
    <w:rsid w:val="00603AD5"/>
    <w:rsid w:val="00612C6D"/>
    <w:rsid w:val="0062354D"/>
    <w:rsid w:val="006272BE"/>
    <w:rsid w:val="00631321"/>
    <w:rsid w:val="00632372"/>
    <w:rsid w:val="006367DF"/>
    <w:rsid w:val="006460E4"/>
    <w:rsid w:val="00647F90"/>
    <w:rsid w:val="00650D33"/>
    <w:rsid w:val="006652E8"/>
    <w:rsid w:val="00667EE6"/>
    <w:rsid w:val="00670720"/>
    <w:rsid w:val="006720C3"/>
    <w:rsid w:val="00672CD7"/>
    <w:rsid w:val="006766DE"/>
    <w:rsid w:val="00677489"/>
    <w:rsid w:val="00677F40"/>
    <w:rsid w:val="0068119B"/>
    <w:rsid w:val="00682673"/>
    <w:rsid w:val="00683C63"/>
    <w:rsid w:val="00685E33"/>
    <w:rsid w:val="00694886"/>
    <w:rsid w:val="006A27B5"/>
    <w:rsid w:val="006A2AEB"/>
    <w:rsid w:val="006A3F60"/>
    <w:rsid w:val="006A4472"/>
    <w:rsid w:val="006A7189"/>
    <w:rsid w:val="006B64FE"/>
    <w:rsid w:val="006C44F2"/>
    <w:rsid w:val="006C62C8"/>
    <w:rsid w:val="006D707D"/>
    <w:rsid w:val="006E13B6"/>
    <w:rsid w:val="006F1017"/>
    <w:rsid w:val="006F20AE"/>
    <w:rsid w:val="006F2297"/>
    <w:rsid w:val="006F4177"/>
    <w:rsid w:val="006F4771"/>
    <w:rsid w:val="006F55F2"/>
    <w:rsid w:val="006F5F26"/>
    <w:rsid w:val="00702B28"/>
    <w:rsid w:val="00702EB1"/>
    <w:rsid w:val="00710F76"/>
    <w:rsid w:val="00717AC9"/>
    <w:rsid w:val="00720238"/>
    <w:rsid w:val="007203E9"/>
    <w:rsid w:val="00732417"/>
    <w:rsid w:val="00735BF0"/>
    <w:rsid w:val="00737045"/>
    <w:rsid w:val="00740BFE"/>
    <w:rsid w:val="00743EA3"/>
    <w:rsid w:val="00751AC6"/>
    <w:rsid w:val="007565E1"/>
    <w:rsid w:val="00756EA2"/>
    <w:rsid w:val="00772AA6"/>
    <w:rsid w:val="007773C6"/>
    <w:rsid w:val="007920FA"/>
    <w:rsid w:val="00792731"/>
    <w:rsid w:val="00793C81"/>
    <w:rsid w:val="007A5DFE"/>
    <w:rsid w:val="007B18CF"/>
    <w:rsid w:val="007C15D9"/>
    <w:rsid w:val="007C4ABE"/>
    <w:rsid w:val="007C7032"/>
    <w:rsid w:val="007D1AA6"/>
    <w:rsid w:val="007E377A"/>
    <w:rsid w:val="007E43B4"/>
    <w:rsid w:val="007E49A5"/>
    <w:rsid w:val="007E63B9"/>
    <w:rsid w:val="007E63CE"/>
    <w:rsid w:val="007F6EA6"/>
    <w:rsid w:val="008009D7"/>
    <w:rsid w:val="00804F29"/>
    <w:rsid w:val="008077C1"/>
    <w:rsid w:val="00807C4D"/>
    <w:rsid w:val="008131B2"/>
    <w:rsid w:val="008174DF"/>
    <w:rsid w:val="0083458A"/>
    <w:rsid w:val="008410B6"/>
    <w:rsid w:val="00841143"/>
    <w:rsid w:val="008458AE"/>
    <w:rsid w:val="008672B1"/>
    <w:rsid w:val="00872B59"/>
    <w:rsid w:val="00872EDD"/>
    <w:rsid w:val="00873591"/>
    <w:rsid w:val="008773C2"/>
    <w:rsid w:val="0088095F"/>
    <w:rsid w:val="0088524A"/>
    <w:rsid w:val="00886528"/>
    <w:rsid w:val="00891EBC"/>
    <w:rsid w:val="00893154"/>
    <w:rsid w:val="00897CB2"/>
    <w:rsid w:val="008A1B5C"/>
    <w:rsid w:val="008A2904"/>
    <w:rsid w:val="008A326F"/>
    <w:rsid w:val="008A4F88"/>
    <w:rsid w:val="008A596A"/>
    <w:rsid w:val="008B0ED9"/>
    <w:rsid w:val="008B68FE"/>
    <w:rsid w:val="008C11D6"/>
    <w:rsid w:val="008C3D62"/>
    <w:rsid w:val="008C6F36"/>
    <w:rsid w:val="008D6D01"/>
    <w:rsid w:val="008E00DE"/>
    <w:rsid w:val="008E4196"/>
    <w:rsid w:val="009107B8"/>
    <w:rsid w:val="0091171D"/>
    <w:rsid w:val="00923BD5"/>
    <w:rsid w:val="00925B52"/>
    <w:rsid w:val="00930F85"/>
    <w:rsid w:val="009312DC"/>
    <w:rsid w:val="009365CC"/>
    <w:rsid w:val="009507C1"/>
    <w:rsid w:val="00963D17"/>
    <w:rsid w:val="00972B71"/>
    <w:rsid w:val="00984E14"/>
    <w:rsid w:val="009857ED"/>
    <w:rsid w:val="00997A01"/>
    <w:rsid w:val="009B2244"/>
    <w:rsid w:val="009B6B9F"/>
    <w:rsid w:val="009C1130"/>
    <w:rsid w:val="009C6121"/>
    <w:rsid w:val="009D531E"/>
    <w:rsid w:val="009D6F10"/>
    <w:rsid w:val="009E5A7F"/>
    <w:rsid w:val="009F3ABA"/>
    <w:rsid w:val="009F502A"/>
    <w:rsid w:val="009F7219"/>
    <w:rsid w:val="00A064E5"/>
    <w:rsid w:val="00A10A11"/>
    <w:rsid w:val="00A13C89"/>
    <w:rsid w:val="00A16CFF"/>
    <w:rsid w:val="00A315F4"/>
    <w:rsid w:val="00A34232"/>
    <w:rsid w:val="00A36CF4"/>
    <w:rsid w:val="00A378C4"/>
    <w:rsid w:val="00A432E8"/>
    <w:rsid w:val="00A46A9C"/>
    <w:rsid w:val="00A52361"/>
    <w:rsid w:val="00A56B1D"/>
    <w:rsid w:val="00A61992"/>
    <w:rsid w:val="00A64156"/>
    <w:rsid w:val="00A676E4"/>
    <w:rsid w:val="00A75BDF"/>
    <w:rsid w:val="00A81799"/>
    <w:rsid w:val="00AB2B27"/>
    <w:rsid w:val="00AC040E"/>
    <w:rsid w:val="00AC285D"/>
    <w:rsid w:val="00AD04A0"/>
    <w:rsid w:val="00AD06CE"/>
    <w:rsid w:val="00AD07FA"/>
    <w:rsid w:val="00AD21EC"/>
    <w:rsid w:val="00AD2ED0"/>
    <w:rsid w:val="00AD7F7F"/>
    <w:rsid w:val="00AE2761"/>
    <w:rsid w:val="00AE2762"/>
    <w:rsid w:val="00AE654B"/>
    <w:rsid w:val="00AF09FA"/>
    <w:rsid w:val="00AF3A0F"/>
    <w:rsid w:val="00AF3DF0"/>
    <w:rsid w:val="00B00976"/>
    <w:rsid w:val="00B20523"/>
    <w:rsid w:val="00B2168D"/>
    <w:rsid w:val="00B26BA5"/>
    <w:rsid w:val="00B26EB9"/>
    <w:rsid w:val="00B367C4"/>
    <w:rsid w:val="00B37A9C"/>
    <w:rsid w:val="00B43DBC"/>
    <w:rsid w:val="00B63E2D"/>
    <w:rsid w:val="00B6620E"/>
    <w:rsid w:val="00B71CA3"/>
    <w:rsid w:val="00B73678"/>
    <w:rsid w:val="00B736C3"/>
    <w:rsid w:val="00B8203B"/>
    <w:rsid w:val="00B914D9"/>
    <w:rsid w:val="00BA22C7"/>
    <w:rsid w:val="00BA3795"/>
    <w:rsid w:val="00BA632E"/>
    <w:rsid w:val="00BA6B89"/>
    <w:rsid w:val="00BA790A"/>
    <w:rsid w:val="00BB7576"/>
    <w:rsid w:val="00BB7901"/>
    <w:rsid w:val="00BC6D7C"/>
    <w:rsid w:val="00BC79EF"/>
    <w:rsid w:val="00BD762E"/>
    <w:rsid w:val="00BE2F67"/>
    <w:rsid w:val="00BE30B7"/>
    <w:rsid w:val="00BF44C3"/>
    <w:rsid w:val="00BF7082"/>
    <w:rsid w:val="00BF7C88"/>
    <w:rsid w:val="00C027FB"/>
    <w:rsid w:val="00C04D68"/>
    <w:rsid w:val="00C06397"/>
    <w:rsid w:val="00C12B4D"/>
    <w:rsid w:val="00C15AD5"/>
    <w:rsid w:val="00C17F6D"/>
    <w:rsid w:val="00C21585"/>
    <w:rsid w:val="00C23352"/>
    <w:rsid w:val="00C25EB0"/>
    <w:rsid w:val="00C262C8"/>
    <w:rsid w:val="00C30E76"/>
    <w:rsid w:val="00C31EA3"/>
    <w:rsid w:val="00C32803"/>
    <w:rsid w:val="00C351E4"/>
    <w:rsid w:val="00C37C82"/>
    <w:rsid w:val="00C434D6"/>
    <w:rsid w:val="00C437CB"/>
    <w:rsid w:val="00C44B6C"/>
    <w:rsid w:val="00C508A1"/>
    <w:rsid w:val="00C57010"/>
    <w:rsid w:val="00C627D4"/>
    <w:rsid w:val="00C73803"/>
    <w:rsid w:val="00C76EE0"/>
    <w:rsid w:val="00C77682"/>
    <w:rsid w:val="00C808A4"/>
    <w:rsid w:val="00C873DC"/>
    <w:rsid w:val="00C90034"/>
    <w:rsid w:val="00C91B06"/>
    <w:rsid w:val="00C929C2"/>
    <w:rsid w:val="00C94E7A"/>
    <w:rsid w:val="00CA2C02"/>
    <w:rsid w:val="00CB27E8"/>
    <w:rsid w:val="00CB356A"/>
    <w:rsid w:val="00CB66A1"/>
    <w:rsid w:val="00CC1BD5"/>
    <w:rsid w:val="00CC2335"/>
    <w:rsid w:val="00CC4FF9"/>
    <w:rsid w:val="00CD5B94"/>
    <w:rsid w:val="00CD675E"/>
    <w:rsid w:val="00CE0654"/>
    <w:rsid w:val="00CE09EF"/>
    <w:rsid w:val="00CE2CEE"/>
    <w:rsid w:val="00CE3A76"/>
    <w:rsid w:val="00CE5318"/>
    <w:rsid w:val="00CF12BF"/>
    <w:rsid w:val="00CF20B4"/>
    <w:rsid w:val="00D02851"/>
    <w:rsid w:val="00D028A2"/>
    <w:rsid w:val="00D110A9"/>
    <w:rsid w:val="00D226B7"/>
    <w:rsid w:val="00D30A5F"/>
    <w:rsid w:val="00D36167"/>
    <w:rsid w:val="00D407C0"/>
    <w:rsid w:val="00D568FA"/>
    <w:rsid w:val="00D61B2D"/>
    <w:rsid w:val="00D63239"/>
    <w:rsid w:val="00D64099"/>
    <w:rsid w:val="00D82AD0"/>
    <w:rsid w:val="00D9417A"/>
    <w:rsid w:val="00DB1EF8"/>
    <w:rsid w:val="00DB30C2"/>
    <w:rsid w:val="00DB37F7"/>
    <w:rsid w:val="00DC10B9"/>
    <w:rsid w:val="00DC7185"/>
    <w:rsid w:val="00DC7E1D"/>
    <w:rsid w:val="00DE0D3D"/>
    <w:rsid w:val="00DE3E68"/>
    <w:rsid w:val="00DE4272"/>
    <w:rsid w:val="00DE62F0"/>
    <w:rsid w:val="00E02610"/>
    <w:rsid w:val="00E027F1"/>
    <w:rsid w:val="00E03DB4"/>
    <w:rsid w:val="00E120EC"/>
    <w:rsid w:val="00E15BCF"/>
    <w:rsid w:val="00E23692"/>
    <w:rsid w:val="00E32F70"/>
    <w:rsid w:val="00E4129F"/>
    <w:rsid w:val="00E41C25"/>
    <w:rsid w:val="00E45133"/>
    <w:rsid w:val="00E5024C"/>
    <w:rsid w:val="00E602AC"/>
    <w:rsid w:val="00E6550D"/>
    <w:rsid w:val="00E82A51"/>
    <w:rsid w:val="00E83D6E"/>
    <w:rsid w:val="00E90EFA"/>
    <w:rsid w:val="00E92712"/>
    <w:rsid w:val="00E93EFE"/>
    <w:rsid w:val="00EA2016"/>
    <w:rsid w:val="00EA3083"/>
    <w:rsid w:val="00EA5AB0"/>
    <w:rsid w:val="00EA79CD"/>
    <w:rsid w:val="00EB7BC3"/>
    <w:rsid w:val="00EC358B"/>
    <w:rsid w:val="00EC3DD5"/>
    <w:rsid w:val="00EC7FAA"/>
    <w:rsid w:val="00ED28A0"/>
    <w:rsid w:val="00ED3AB8"/>
    <w:rsid w:val="00ED5002"/>
    <w:rsid w:val="00ED657D"/>
    <w:rsid w:val="00EE1A6E"/>
    <w:rsid w:val="00EE21C4"/>
    <w:rsid w:val="00EE347B"/>
    <w:rsid w:val="00EE4228"/>
    <w:rsid w:val="00EE5ED9"/>
    <w:rsid w:val="00EF09E6"/>
    <w:rsid w:val="00EF3786"/>
    <w:rsid w:val="00EF5CD6"/>
    <w:rsid w:val="00F0184A"/>
    <w:rsid w:val="00F074E0"/>
    <w:rsid w:val="00F16118"/>
    <w:rsid w:val="00F210F7"/>
    <w:rsid w:val="00F2112A"/>
    <w:rsid w:val="00F513A1"/>
    <w:rsid w:val="00F60376"/>
    <w:rsid w:val="00F671B3"/>
    <w:rsid w:val="00F86CF7"/>
    <w:rsid w:val="00F8704E"/>
    <w:rsid w:val="00F90AAC"/>
    <w:rsid w:val="00F90FD4"/>
    <w:rsid w:val="00F93568"/>
    <w:rsid w:val="00F93645"/>
    <w:rsid w:val="00FC0FEB"/>
    <w:rsid w:val="00FC24DA"/>
    <w:rsid w:val="00FC7BE5"/>
    <w:rsid w:val="00FD0EFD"/>
    <w:rsid w:val="00FD465D"/>
    <w:rsid w:val="00FE0677"/>
    <w:rsid w:val="00FE0ADD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15A4B"/>
  <w15:docId w15:val="{971F43FF-1C76-4418-9DD7-19895CE0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47B"/>
    <w:pPr>
      <w:spacing w:line="252" w:lineRule="auto"/>
    </w:pPr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C17F6D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EE347B"/>
    <w:pPr>
      <w:ind w:firstLine="576"/>
    </w:pPr>
  </w:style>
  <w:style w:type="paragraph" w:customStyle="1" w:styleId="BWCClosing">
    <w:name w:val="BWC Closing"/>
    <w:basedOn w:val="Normal"/>
    <w:next w:val="Normal"/>
    <w:qFormat/>
    <w:rsid w:val="00C17F6D"/>
    <w:pPr>
      <w:spacing w:before="240" w:after="960"/>
      <w:ind w:left="4320"/>
    </w:pPr>
  </w:style>
  <w:style w:type="paragraph" w:customStyle="1" w:styleId="BWCGreeting">
    <w:name w:val="BWC Greeting"/>
    <w:basedOn w:val="Normal"/>
    <w:next w:val="Normal"/>
    <w:qFormat/>
    <w:rsid w:val="00C17F6D"/>
    <w:pPr>
      <w:spacing w:before="480" w:after="240"/>
    </w:pPr>
  </w:style>
  <w:style w:type="paragraph" w:customStyle="1" w:styleId="BWCInternalInfo">
    <w:name w:val="BWC Internal Info"/>
    <w:basedOn w:val="Normal"/>
    <w:qFormat/>
    <w:rsid w:val="00C17F6D"/>
  </w:style>
  <w:style w:type="paragraph" w:styleId="PlainText">
    <w:name w:val="Plain Text"/>
    <w:basedOn w:val="Normal"/>
    <w:rsid w:val="00EE347B"/>
    <w:rPr>
      <w:rFonts w:ascii="Courier New" w:hAnsi="Courier New" w:cs="Courier New"/>
      <w:sz w:val="20"/>
      <w:szCs w:val="20"/>
    </w:rPr>
  </w:style>
  <w:style w:type="paragraph" w:customStyle="1" w:styleId="BWCXBCInfo">
    <w:name w:val="BWC XBC Info"/>
    <w:basedOn w:val="Normal"/>
    <w:qFormat/>
    <w:rsid w:val="00C17F6D"/>
  </w:style>
  <w:style w:type="paragraph" w:customStyle="1" w:styleId="BWCFileInfo">
    <w:name w:val="BWC File Info"/>
    <w:basedOn w:val="Normal"/>
    <w:qFormat/>
    <w:rsid w:val="00C17F6D"/>
  </w:style>
  <w:style w:type="character" w:customStyle="1" w:styleId="BWCComment">
    <w:name w:val="BWC Comment"/>
    <w:basedOn w:val="DefaultParagraphFont"/>
    <w:qFormat/>
    <w:rsid w:val="00EE347B"/>
    <w:rPr>
      <w:vanish w:val="0"/>
      <w:shd w:val="clear" w:color="auto" w:fill="C0C0C0"/>
    </w:rPr>
  </w:style>
  <w:style w:type="paragraph" w:styleId="Header">
    <w:name w:val="header"/>
    <w:basedOn w:val="Normal"/>
    <w:link w:val="HeaderChar"/>
    <w:uiPriority w:val="99"/>
    <w:rsid w:val="00EE347B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EE347B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EE347B"/>
    <w:pPr>
      <w:numPr>
        <w:numId w:val="19"/>
      </w:numPr>
    </w:pPr>
  </w:style>
  <w:style w:type="paragraph" w:customStyle="1" w:styleId="BWCList">
    <w:name w:val="BWC List"/>
    <w:basedOn w:val="BWCBullet"/>
    <w:qFormat/>
    <w:rsid w:val="00EE347B"/>
    <w:pPr>
      <w:numPr>
        <w:numId w:val="20"/>
      </w:numPr>
    </w:pPr>
  </w:style>
  <w:style w:type="paragraph" w:styleId="Footer">
    <w:name w:val="footer"/>
    <w:basedOn w:val="Normal"/>
    <w:link w:val="FooterChar"/>
    <w:uiPriority w:val="99"/>
    <w:rsid w:val="00EE347B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qFormat/>
    <w:rsid w:val="00C17F6D"/>
    <w:pPr>
      <w:spacing w:after="240"/>
      <w:jc w:val="center"/>
    </w:pPr>
  </w:style>
  <w:style w:type="paragraph" w:customStyle="1" w:styleId="BWCSignature">
    <w:name w:val="BWC Signature"/>
    <w:basedOn w:val="BWCClosing"/>
    <w:next w:val="BWCNormal"/>
    <w:qFormat/>
    <w:rsid w:val="00C17F6D"/>
    <w:pPr>
      <w:spacing w:before="0" w:after="480"/>
    </w:pPr>
  </w:style>
  <w:style w:type="paragraph" w:styleId="FootnoteText">
    <w:name w:val="footnote text"/>
    <w:basedOn w:val="Normal"/>
    <w:semiHidden/>
    <w:rsid w:val="00EE347B"/>
    <w:rPr>
      <w:sz w:val="22"/>
      <w:szCs w:val="22"/>
    </w:rPr>
  </w:style>
  <w:style w:type="character" w:styleId="PageNumber">
    <w:name w:val="page number"/>
    <w:basedOn w:val="DefaultParagraphFont"/>
    <w:rsid w:val="00EE347B"/>
  </w:style>
  <w:style w:type="paragraph" w:customStyle="1" w:styleId="BWCQuote">
    <w:name w:val="BWC Quote"/>
    <w:basedOn w:val="Normal"/>
    <w:qFormat/>
    <w:rsid w:val="00EE347B"/>
    <w:pPr>
      <w:ind w:left="576" w:right="576"/>
    </w:pPr>
  </w:style>
  <w:style w:type="paragraph" w:customStyle="1" w:styleId="BWCTitle">
    <w:name w:val="BWC Title"/>
    <w:basedOn w:val="Normal"/>
    <w:next w:val="BWCBodyText"/>
    <w:qFormat/>
    <w:rsid w:val="000360A6"/>
    <w:pPr>
      <w:spacing w:after="240"/>
      <w:jc w:val="center"/>
    </w:pPr>
    <w:rPr>
      <w:b/>
      <w:sz w:val="24"/>
    </w:rPr>
  </w:style>
  <w:style w:type="paragraph" w:customStyle="1" w:styleId="BWCNormal">
    <w:name w:val="BWC Normal"/>
    <w:basedOn w:val="Normal"/>
    <w:qFormat/>
    <w:rsid w:val="00EE347B"/>
  </w:style>
  <w:style w:type="paragraph" w:customStyle="1" w:styleId="BWCAttrib2">
    <w:name w:val="BWC Attrib 2"/>
    <w:basedOn w:val="BWCAttrib"/>
    <w:next w:val="BWCBodyText"/>
    <w:qFormat/>
    <w:rsid w:val="00EE347B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EE347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EE347B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EE347B"/>
    <w:pPr>
      <w:ind w:left="2678" w:right="1728"/>
    </w:pPr>
  </w:style>
  <w:style w:type="paragraph" w:customStyle="1" w:styleId="BWCQuote3">
    <w:name w:val="BWC Quote 3"/>
    <w:basedOn w:val="BWCQuote"/>
    <w:qFormat/>
    <w:rsid w:val="00EE347B"/>
    <w:pPr>
      <w:ind w:left="1728" w:right="1728"/>
    </w:pPr>
  </w:style>
  <w:style w:type="paragraph" w:customStyle="1" w:styleId="BWCEmailFax">
    <w:name w:val="BWC Email/Fax"/>
    <w:basedOn w:val="Normal"/>
    <w:qFormat/>
    <w:rsid w:val="00EE347B"/>
    <w:pPr>
      <w:tabs>
        <w:tab w:val="left" w:pos="2074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AE654B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E654B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table" w:styleId="TableGrid">
    <w:name w:val="Table Grid"/>
    <w:basedOn w:val="TableNormal"/>
    <w:rsid w:val="00F0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120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204B"/>
    <w:rPr>
      <w:rFonts w:ascii="Segoe UI" w:hAnsi="Segoe UI" w:cs="Segoe UI"/>
      <w:w w:val="102"/>
      <w:kern w:val="20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0238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8FD"/>
    <w:rPr>
      <w:color w:val="605E5C"/>
      <w:shd w:val="clear" w:color="auto" w:fill="E1DFDD"/>
    </w:rPr>
  </w:style>
  <w:style w:type="paragraph" w:customStyle="1" w:styleId="ZH1">
    <w:name w:val="ZH1"/>
    <w:rsid w:val="009F502A"/>
    <w:pPr>
      <w:jc w:val="center"/>
    </w:pPr>
    <w:rPr>
      <w:rFonts w:ascii="Book Antiqua" w:hAnsi="Book Antiqua"/>
      <w:color w:val="000000"/>
      <w:sz w:val="22"/>
      <w:szCs w:val="22"/>
      <w:lang w:val="en-GB"/>
    </w:rPr>
  </w:style>
  <w:style w:type="paragraph" w:customStyle="1" w:styleId="ZF1">
    <w:name w:val="ZF1"/>
    <w:rsid w:val="009F502A"/>
    <w:pPr>
      <w:jc w:val="center"/>
    </w:pPr>
    <w:rPr>
      <w:rFonts w:ascii="Book Antiqua" w:hAnsi="Book Antiqua"/>
      <w:spacing w:val="8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793C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3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3C81"/>
    <w:rPr>
      <w:rFonts w:ascii="Times Ext Roman" w:hAnsi="Times Ext Roman" w:cs="Times Ext Roman"/>
      <w:w w:val="102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3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3C81"/>
    <w:rPr>
      <w:rFonts w:ascii="Times Ext Roman" w:hAnsi="Times Ext Roman" w:cs="Times Ext Roman"/>
      <w:b/>
      <w:bCs/>
      <w:w w:val="102"/>
      <w:kern w:val="20"/>
      <w:lang w:val="en-GB"/>
    </w:rPr>
  </w:style>
  <w:style w:type="paragraph" w:styleId="Revision">
    <w:name w:val="Revision"/>
    <w:hidden/>
    <w:uiPriority w:val="99"/>
    <w:semiHidden/>
    <w:rsid w:val="00793C81"/>
    <w:rPr>
      <w:rFonts w:ascii="Times Ext Roman" w:hAnsi="Times Ext Roman" w:cs="Times Ext Roman"/>
      <w:w w:val="102"/>
      <w:kern w:val="20"/>
      <w:sz w:val="23"/>
      <w:szCs w:val="2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hai.org/libra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hai.org/library/authoritative-texts/the-universal-house-of-justice/messag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hai.org/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4737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Riḍván Message</vt:lpstr>
    </vt:vector>
  </TitlesOfParts>
  <Manager>Bahá'í Faith;Bahá'í</Manager>
  <Company>Bahá'í Faith; Bahá'í</Company>
  <LinksUpToDate>false</LinksUpToDate>
  <CharactersWithSpaces>31675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Riḍván Message</dc:title>
  <dc:subject>Riḍván Message; Riḍván 2021; Universal House of Justice; Bahá'í Faith, Bahá'í, Religion.</dc:subject>
  <dc:creator>Universal House of Justice;Bahá'í Faith;Bahá'í</dc:creator>
  <cp:keywords>Riḍván Message; Riḍván 2021; Universal House of Justice; Bahá'í Faith, Bahá'í, Religion.</cp:keywords>
  <cp:lastModifiedBy>Vaughan Smith</cp:lastModifiedBy>
  <cp:revision>7</cp:revision>
  <dcterms:created xsi:type="dcterms:W3CDTF">2021-04-30T07:44:00Z</dcterms:created>
  <dcterms:modified xsi:type="dcterms:W3CDTF">2021-05-01T02:47:00Z</dcterms:modified>
  <cp:category>Riḍván Message; Riḍván 2021; Universal House of Justice; Bahá'í Faith, Bahá'í, Religion.</cp:category>
</cp:coreProperties>
</file>