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C2E1" w14:textId="77777777" w:rsidR="002146A7" w:rsidRPr="002146A7" w:rsidRDefault="00014614" w:rsidP="002146A7">
      <w:pPr>
        <w:pStyle w:val="PlainText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2146A7">
        <w:rPr>
          <w:rFonts w:ascii="Tahoma" w:hAnsi="Tahoma" w:cs="Tahoma"/>
          <w:b/>
          <w:bCs/>
          <w:sz w:val="32"/>
          <w:szCs w:val="32"/>
          <w:lang w:val="en-GB"/>
        </w:rPr>
        <w:t xml:space="preserve">Tablet Concerning the Day of the Martyrdom of </w:t>
      </w:r>
    </w:p>
    <w:p w14:paraId="409404A5" w14:textId="68FD4358" w:rsidR="00DC65C4" w:rsidRPr="002146A7" w:rsidRDefault="00014614" w:rsidP="002146A7">
      <w:pPr>
        <w:pStyle w:val="PlainText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2146A7">
        <w:rPr>
          <w:rFonts w:ascii="Tahoma" w:hAnsi="Tahoma" w:cs="Tahoma"/>
          <w:b/>
          <w:bCs/>
          <w:sz w:val="32"/>
          <w:szCs w:val="32"/>
          <w:lang w:val="en-GB"/>
        </w:rPr>
        <w:t>His Holiness, the Exalted One</w:t>
      </w:r>
      <w:r w:rsidR="002146A7" w:rsidRPr="002146A7">
        <w:rPr>
          <w:rFonts w:ascii="Tahoma" w:hAnsi="Tahoma" w:cs="Tahoma"/>
          <w:b/>
          <w:bCs/>
          <w:sz w:val="32"/>
          <w:szCs w:val="32"/>
          <w:lang w:val="en-GB"/>
        </w:rPr>
        <w:t xml:space="preserve"> (The Báb)</w:t>
      </w:r>
      <w:r w:rsidR="00DD70E9">
        <w:rPr>
          <w:rFonts w:ascii="Tahoma" w:hAnsi="Tahoma" w:cs="Tahoma"/>
          <w:b/>
          <w:bCs/>
          <w:sz w:val="32"/>
          <w:szCs w:val="32"/>
          <w:lang w:val="en-GB"/>
        </w:rPr>
        <w:t xml:space="preserve"> </w:t>
      </w:r>
      <w:r w:rsidR="00906B7E">
        <w:rPr>
          <w:rStyle w:val="FootnoteReference"/>
          <w:rFonts w:ascii="Tahoma" w:hAnsi="Tahoma" w:cs="Tahoma"/>
          <w:sz w:val="32"/>
          <w:szCs w:val="32"/>
          <w:lang w:val="en-GB"/>
        </w:rPr>
        <w:t>[</w:t>
      </w:r>
      <w:r w:rsidR="00DC65C4" w:rsidRPr="00DD70E9">
        <w:rPr>
          <w:rStyle w:val="EndnoteReference"/>
          <w:rFonts w:ascii="Tahoma" w:hAnsi="Tahoma" w:cs="Tahoma"/>
          <w:sz w:val="32"/>
          <w:szCs w:val="32"/>
          <w:lang w:val="en-GB"/>
        </w:rPr>
        <w:endnoteReference w:id="1"/>
      </w:r>
      <w:r w:rsidR="00DC65C4">
        <w:rPr>
          <w:rStyle w:val="EndnoteReference"/>
          <w:rFonts w:ascii="Tahoma" w:hAnsi="Tahoma" w:cs="Tahoma"/>
          <w:sz w:val="32"/>
          <w:szCs w:val="32"/>
          <w:lang w:val="en-GB"/>
        </w:rPr>
        <w:t>]</w:t>
      </w:r>
    </w:p>
    <w:p w14:paraId="010DE982" w14:textId="77777777" w:rsidR="00DC65C4" w:rsidRPr="002146A7" w:rsidRDefault="00DC65C4" w:rsidP="002146A7">
      <w:pPr>
        <w:pStyle w:val="PlainText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643002E5" w14:textId="08EED18F" w:rsidR="00DC65C4" w:rsidRPr="002146A7" w:rsidRDefault="00DC65C4" w:rsidP="002146A7">
      <w:pPr>
        <w:pStyle w:val="PlainText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2146A7">
        <w:rPr>
          <w:rFonts w:ascii="Tahoma" w:hAnsi="Tahoma" w:cs="Tahoma"/>
          <w:b/>
          <w:bCs/>
          <w:sz w:val="32"/>
          <w:szCs w:val="32"/>
          <w:lang w:val="en-GB"/>
        </w:rPr>
        <w:t>by</w:t>
      </w:r>
    </w:p>
    <w:p w14:paraId="4CEA0163" w14:textId="77777777" w:rsidR="00DC65C4" w:rsidRPr="002146A7" w:rsidRDefault="00DC65C4" w:rsidP="002146A7">
      <w:pPr>
        <w:pStyle w:val="PlainText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08DEC969" w14:textId="0F3506F9" w:rsidR="00DC65C4" w:rsidRPr="002146A7" w:rsidRDefault="00DC65C4" w:rsidP="002146A7">
      <w:pPr>
        <w:pStyle w:val="PlainText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2146A7">
        <w:rPr>
          <w:rFonts w:ascii="Tahoma" w:hAnsi="Tahoma" w:cs="Tahoma"/>
          <w:b/>
          <w:bCs/>
          <w:sz w:val="32"/>
          <w:szCs w:val="32"/>
          <w:lang w:val="en-GB"/>
        </w:rPr>
        <w:t>Abdu'l-Bahá</w:t>
      </w:r>
    </w:p>
    <w:p w14:paraId="2EB08C21" w14:textId="755394A8" w:rsidR="00DC65C4" w:rsidRPr="002146A7" w:rsidRDefault="00DC65C4" w:rsidP="003D4661">
      <w:pPr>
        <w:spacing w:after="0"/>
        <w:jc w:val="both"/>
        <w:rPr>
          <w:rFonts w:ascii="Tahoma" w:hAnsi="Tahoma" w:cs="Tahoma"/>
          <w:sz w:val="32"/>
          <w:szCs w:val="32"/>
          <w:lang w:val="en-GB"/>
        </w:rPr>
      </w:pPr>
    </w:p>
    <w:p w14:paraId="227AE087" w14:textId="77777777" w:rsidR="00DC65C4" w:rsidRPr="002146A7" w:rsidRDefault="00DC65C4" w:rsidP="003D4661">
      <w:pPr>
        <w:spacing w:after="0"/>
        <w:jc w:val="both"/>
        <w:rPr>
          <w:rFonts w:ascii="Tahoma" w:hAnsi="Tahoma" w:cs="Tahoma"/>
          <w:sz w:val="32"/>
          <w:szCs w:val="32"/>
          <w:lang w:val="en-GB"/>
        </w:rPr>
      </w:pPr>
    </w:p>
    <w:p w14:paraId="3D5F334D" w14:textId="77777777" w:rsidR="00DC65C4" w:rsidRPr="002146A7" w:rsidRDefault="00DC65C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  <w:r w:rsidRPr="002146A7">
        <w:rPr>
          <w:rFonts w:ascii="Tahoma" w:hAnsi="Tahoma" w:cs="Tahoma"/>
          <w:sz w:val="32"/>
          <w:szCs w:val="32"/>
          <w:lang w:val="en-GB"/>
        </w:rPr>
        <w:t>He is the All-Glorious!</w:t>
      </w:r>
    </w:p>
    <w:p w14:paraId="083FDBAE" w14:textId="77777777" w:rsidR="00DC65C4" w:rsidRPr="002146A7" w:rsidRDefault="00DC65C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</w:p>
    <w:p w14:paraId="1E1808B5" w14:textId="3DDA74AA" w:rsidR="00906B7E" w:rsidRPr="002146A7" w:rsidRDefault="00DC65C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  <w:r w:rsidRPr="002146A7">
        <w:rPr>
          <w:rFonts w:ascii="Tahoma" w:hAnsi="Tahoma" w:cs="Tahoma"/>
          <w:sz w:val="32"/>
          <w:szCs w:val="32"/>
          <w:lang w:val="en-GB"/>
        </w:rPr>
        <w:t>O thou honoured 'Alí Akbar!</w:t>
      </w:r>
      <w:r>
        <w:rPr>
          <w:rFonts w:ascii="Tahoma" w:hAnsi="Tahoma" w:cs="Tahoma"/>
          <w:sz w:val="32"/>
          <w:szCs w:val="32"/>
          <w:lang w:val="en-GB"/>
        </w:rPr>
        <w:t xml:space="preserve"> </w:t>
      </w:r>
      <w:r>
        <w:rPr>
          <w:rStyle w:val="EndnoteReference"/>
          <w:rFonts w:ascii="Tahoma" w:hAnsi="Tahoma" w:cs="Tahoma"/>
          <w:sz w:val="32"/>
          <w:szCs w:val="32"/>
          <w:lang w:val="en-GB"/>
        </w:rPr>
        <w:t>[</w:t>
      </w:r>
      <w:r>
        <w:rPr>
          <w:rStyle w:val="EndnoteReference"/>
          <w:rFonts w:ascii="Tahoma" w:hAnsi="Tahoma" w:cs="Tahoma"/>
          <w:sz w:val="32"/>
          <w:szCs w:val="32"/>
          <w:lang w:val="en-GB"/>
        </w:rPr>
        <w:endnoteReference w:id="2"/>
      </w:r>
      <w:r>
        <w:rPr>
          <w:rStyle w:val="EndnoteReference"/>
          <w:rFonts w:ascii="Tahoma" w:hAnsi="Tahoma" w:cs="Tahoma"/>
          <w:sz w:val="32"/>
          <w:szCs w:val="32"/>
          <w:lang w:val="en-GB"/>
        </w:rPr>
        <w:t>]</w:t>
      </w:r>
    </w:p>
    <w:p w14:paraId="1B12C1FA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</w:p>
    <w:p w14:paraId="39A84C78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  <w:r w:rsidRPr="002146A7">
        <w:rPr>
          <w:rFonts w:ascii="Tahoma" w:hAnsi="Tahoma" w:cs="Tahoma"/>
          <w:sz w:val="32"/>
          <w:szCs w:val="32"/>
          <w:lang w:val="en-GB"/>
        </w:rPr>
        <w:t xml:space="preserve">This day is the day of the Martyrdom of His Holiness, the Exalted One, may our heart be sacrificed for His sanctified blood. </w:t>
      </w:r>
    </w:p>
    <w:p w14:paraId="088A575D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</w:p>
    <w:p w14:paraId="3E462E00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  <w:r w:rsidRPr="002146A7">
        <w:rPr>
          <w:rFonts w:ascii="Tahoma" w:hAnsi="Tahoma" w:cs="Tahoma"/>
          <w:sz w:val="32"/>
          <w:szCs w:val="32"/>
          <w:lang w:val="en-GB"/>
        </w:rPr>
        <w:t>This Day is the day in which this "Sun of Truth" concealed itself behind the clouds of providence.</w:t>
      </w:r>
    </w:p>
    <w:p w14:paraId="255F9E14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</w:p>
    <w:p w14:paraId="60402434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  <w:r w:rsidRPr="002146A7">
        <w:rPr>
          <w:rFonts w:ascii="Tahoma" w:hAnsi="Tahoma" w:cs="Tahoma"/>
          <w:sz w:val="32"/>
          <w:szCs w:val="32"/>
          <w:lang w:val="en-GB"/>
        </w:rPr>
        <w:t xml:space="preserve">This Day is the day in which this luminous Orb did set! </w:t>
      </w:r>
    </w:p>
    <w:p w14:paraId="17B9CEE9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</w:p>
    <w:p w14:paraId="4E438953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  <w:r w:rsidRPr="002146A7">
        <w:rPr>
          <w:rFonts w:ascii="Tahoma" w:hAnsi="Tahoma" w:cs="Tahoma"/>
          <w:sz w:val="32"/>
          <w:szCs w:val="32"/>
          <w:lang w:val="en-GB"/>
        </w:rPr>
        <w:t xml:space="preserve">This Day is the day in which that Body, pure and without blemish or spot fell upon and rolled onto the blood soaked </w:t>
      </w:r>
      <w:proofErr w:type="gramStart"/>
      <w:r w:rsidRPr="002146A7">
        <w:rPr>
          <w:rFonts w:ascii="Tahoma" w:hAnsi="Tahoma" w:cs="Tahoma"/>
          <w:sz w:val="32"/>
          <w:szCs w:val="32"/>
          <w:lang w:val="en-GB"/>
        </w:rPr>
        <w:t>earth</w:t>
      </w:r>
      <w:proofErr w:type="gramEnd"/>
      <w:r w:rsidRPr="002146A7">
        <w:rPr>
          <w:rFonts w:ascii="Tahoma" w:hAnsi="Tahoma" w:cs="Tahoma"/>
          <w:sz w:val="32"/>
          <w:szCs w:val="32"/>
          <w:lang w:val="en-GB"/>
        </w:rPr>
        <w:t xml:space="preserve"> </w:t>
      </w:r>
    </w:p>
    <w:p w14:paraId="0FF81656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</w:p>
    <w:p w14:paraId="3B7DAB46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  <w:r w:rsidRPr="002146A7">
        <w:rPr>
          <w:rFonts w:ascii="Tahoma" w:hAnsi="Tahoma" w:cs="Tahoma"/>
          <w:sz w:val="32"/>
          <w:szCs w:val="32"/>
          <w:lang w:val="en-GB"/>
        </w:rPr>
        <w:t xml:space="preserve">This Day is the day in which His chest and His heart, immaculate and pure like unto a spotless mirror, was riddled by thousands of bullets! </w:t>
      </w:r>
    </w:p>
    <w:p w14:paraId="5F206196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</w:p>
    <w:p w14:paraId="784CAA6E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  <w:r w:rsidRPr="002146A7">
        <w:rPr>
          <w:rFonts w:ascii="Tahoma" w:hAnsi="Tahoma" w:cs="Tahoma"/>
          <w:sz w:val="32"/>
          <w:szCs w:val="32"/>
          <w:lang w:val="en-GB"/>
        </w:rPr>
        <w:t xml:space="preserve">This Day is the day in which that "Divine Lamp" became severed from Its physical frame! </w:t>
      </w:r>
    </w:p>
    <w:p w14:paraId="3033303A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</w:p>
    <w:p w14:paraId="36CDFB0F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  <w:r w:rsidRPr="002146A7">
        <w:rPr>
          <w:rFonts w:ascii="Tahoma" w:hAnsi="Tahoma" w:cs="Tahoma"/>
          <w:sz w:val="32"/>
          <w:szCs w:val="32"/>
          <w:lang w:val="en-GB"/>
        </w:rPr>
        <w:t xml:space="preserve">This Day is the day in which the cries and lamentations of the Concourse on high are </w:t>
      </w:r>
      <w:proofErr w:type="gramStart"/>
      <w:r w:rsidRPr="002146A7">
        <w:rPr>
          <w:rFonts w:ascii="Tahoma" w:hAnsi="Tahoma" w:cs="Tahoma"/>
          <w:sz w:val="32"/>
          <w:szCs w:val="32"/>
          <w:lang w:val="en-GB"/>
        </w:rPr>
        <w:t>raised</w:t>
      </w:r>
      <w:proofErr w:type="gramEnd"/>
      <w:r w:rsidRPr="002146A7">
        <w:rPr>
          <w:rFonts w:ascii="Tahoma" w:hAnsi="Tahoma" w:cs="Tahoma"/>
          <w:sz w:val="32"/>
          <w:szCs w:val="32"/>
          <w:lang w:val="en-GB"/>
        </w:rPr>
        <w:t xml:space="preserve"> </w:t>
      </w:r>
    </w:p>
    <w:p w14:paraId="17254E0F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</w:p>
    <w:p w14:paraId="0D30669A" w14:textId="77777777" w:rsidR="00014614" w:rsidRPr="002146A7" w:rsidRDefault="00014614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  <w:r w:rsidRPr="002146A7">
        <w:rPr>
          <w:rFonts w:ascii="Tahoma" w:hAnsi="Tahoma" w:cs="Tahoma"/>
          <w:sz w:val="32"/>
          <w:szCs w:val="32"/>
          <w:lang w:val="en-GB"/>
        </w:rPr>
        <w:t>This Day is the day in which the inhabitants of the Kingdom of God weep and moan, the eyes in tears and their hearts torn!</w:t>
      </w:r>
    </w:p>
    <w:p w14:paraId="4C72302D" w14:textId="77777777" w:rsidR="00DD70E9" w:rsidRPr="002146A7" w:rsidRDefault="00DD70E9" w:rsidP="003D4661">
      <w:pPr>
        <w:pStyle w:val="PlainText"/>
        <w:jc w:val="both"/>
        <w:rPr>
          <w:rFonts w:ascii="Tahoma" w:hAnsi="Tahoma" w:cs="Tahoma"/>
          <w:sz w:val="32"/>
          <w:szCs w:val="32"/>
          <w:lang w:val="en-GB"/>
        </w:rPr>
      </w:pPr>
    </w:p>
    <w:p w14:paraId="16EA566D" w14:textId="1720EA6E" w:rsidR="00DD70E9" w:rsidRDefault="002146A7" w:rsidP="003D4661">
      <w:pPr>
        <w:pStyle w:val="PlainText"/>
        <w:jc w:val="right"/>
        <w:rPr>
          <w:rFonts w:ascii="Tahoma" w:hAnsi="Tahoma" w:cs="Tahoma"/>
          <w:sz w:val="32"/>
          <w:szCs w:val="32"/>
          <w:lang w:val="en-GB"/>
        </w:rPr>
      </w:pPr>
      <w:r w:rsidRPr="002146A7">
        <w:rPr>
          <w:rFonts w:ascii="Tahoma" w:hAnsi="Tahoma" w:cs="Tahoma"/>
          <w:sz w:val="32"/>
          <w:szCs w:val="32"/>
          <w:lang w:val="en-GB"/>
        </w:rPr>
        <w:t>‘Abdu’l-Bahá</w:t>
      </w:r>
    </w:p>
    <w:p w14:paraId="0F0A3F09" w14:textId="77777777" w:rsidR="00014614" w:rsidRPr="002146A7" w:rsidRDefault="00014614" w:rsidP="00DD70E9">
      <w:pPr>
        <w:pStyle w:val="PlainText"/>
        <w:rPr>
          <w:rFonts w:ascii="Tahoma" w:hAnsi="Tahoma" w:cs="Tahoma"/>
          <w:sz w:val="32"/>
          <w:szCs w:val="32"/>
          <w:lang w:val="en-GB"/>
        </w:rPr>
      </w:pPr>
    </w:p>
    <w:sectPr w:rsidR="00014614" w:rsidRPr="002146A7" w:rsidSect="002146A7">
      <w:footerReference w:type="default" r:id="rId7"/>
      <w:endnotePr>
        <w:numFmt w:val="decimal"/>
      </w:endnotePr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AB526" w14:textId="77777777" w:rsidR="00C80130" w:rsidRDefault="00C80130" w:rsidP="001E7383">
      <w:pPr>
        <w:spacing w:after="0" w:line="240" w:lineRule="auto"/>
      </w:pPr>
      <w:r>
        <w:separator/>
      </w:r>
    </w:p>
  </w:endnote>
  <w:endnote w:type="continuationSeparator" w:id="0">
    <w:p w14:paraId="130BDDFD" w14:textId="77777777" w:rsidR="00C80130" w:rsidRDefault="00C80130" w:rsidP="001E7383">
      <w:pPr>
        <w:spacing w:after="0" w:line="240" w:lineRule="auto"/>
      </w:pPr>
      <w:r>
        <w:continuationSeparator/>
      </w:r>
    </w:p>
  </w:endnote>
  <w:endnote w:id="1">
    <w:p w14:paraId="75144170" w14:textId="6BB0829C" w:rsidR="00DC65C4" w:rsidRPr="00906B7E" w:rsidRDefault="00DC65C4" w:rsidP="00DD70E9">
      <w:pPr>
        <w:pStyle w:val="EndnoteText"/>
        <w:jc w:val="both"/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</w:pP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vertAlign w:val="superscript"/>
          <w:lang w:val="en-GB"/>
        </w:rPr>
        <w:t>[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vertAlign w:val="superscript"/>
          <w:lang w:val="en-GB"/>
        </w:rPr>
        <w:endnoteRef/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vertAlign w:val="superscript"/>
          <w:lang w:val="en-GB"/>
        </w:rPr>
        <w:t>]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Provisionally 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ranslated from the Persian into English by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Khazeh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Fananapazir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. P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ublished in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Ayyam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-i-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Tis'ih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[The Nine Days], pages 187-88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,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Los Angeles: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Kalimat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Press, 1981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.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originally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written as "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Lawh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-i-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Yawm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-i-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Shahádat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-i-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Hadrat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-i-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A'lá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" in Persian.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See: </w:t>
      </w:r>
      <w:hyperlink r:id="rId1" w:history="1">
        <w:r w:rsidRPr="00906B7E">
          <w:rPr>
            <w:rStyle w:val="Hyperlink"/>
            <w:rFonts w:ascii="Tahoma" w:hAnsi="Tahoma" w:cs="Tahoma"/>
            <w:sz w:val="32"/>
            <w:szCs w:val="32"/>
            <w:shd w:val="clear" w:color="auto" w:fill="FFFFFF"/>
            <w:lang w:val="en-GB"/>
          </w:rPr>
          <w:t>https://bahai-library.com/abdulbaha_day_martyrdom_bahaullah</w:t>
        </w:r>
      </w:hyperlink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</w:p>
    <w:p w14:paraId="251F5F99" w14:textId="77777777" w:rsidR="00DC65C4" w:rsidRPr="00906B7E" w:rsidRDefault="00DC65C4" w:rsidP="00DD70E9">
      <w:pPr>
        <w:pStyle w:val="EndnoteText"/>
        <w:jc w:val="both"/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</w:pPr>
    </w:p>
  </w:endnote>
  <w:endnote w:id="2">
    <w:p w14:paraId="00BA6206" w14:textId="397D31D0" w:rsidR="00DC65C4" w:rsidRPr="00906B7E" w:rsidRDefault="00DC65C4" w:rsidP="001E7383">
      <w:pPr>
        <w:pStyle w:val="EndnoteText"/>
        <w:jc w:val="both"/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</w:pPr>
      <w:r w:rsidRPr="00906B7E">
        <w:rPr>
          <w:rStyle w:val="EndnoteReference"/>
          <w:rFonts w:ascii="Tahoma" w:hAnsi="Tahoma" w:cs="Tahoma"/>
          <w:sz w:val="32"/>
          <w:szCs w:val="32"/>
          <w:lang w:val="en-GB"/>
        </w:rPr>
        <w:t>[</w:t>
      </w:r>
      <w:r w:rsidRPr="00906B7E">
        <w:rPr>
          <w:rStyle w:val="EndnoteReference"/>
          <w:rFonts w:ascii="Tahoma" w:hAnsi="Tahoma" w:cs="Tahoma"/>
          <w:sz w:val="32"/>
          <w:szCs w:val="32"/>
          <w:lang w:val="en-GB"/>
        </w:rPr>
        <w:endnoteRef/>
      </w:r>
      <w:r w:rsidRPr="00906B7E">
        <w:rPr>
          <w:rStyle w:val="EndnoteReference"/>
          <w:rFonts w:ascii="Tahoma" w:hAnsi="Tahoma" w:cs="Tahoma"/>
          <w:sz w:val="32"/>
          <w:szCs w:val="32"/>
          <w:lang w:val="en-GB"/>
        </w:rPr>
        <w:t>]</w:t>
      </w:r>
      <w:r w:rsidRPr="00906B7E">
        <w:rPr>
          <w:rFonts w:ascii="Tahoma" w:hAnsi="Tahoma" w:cs="Tahoma"/>
          <w:sz w:val="32"/>
          <w:szCs w:val="32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That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is,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Mullá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'Alí-Akbar-i-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Sh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ahmirzadí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known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ají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kh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und,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one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four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Hands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Cause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appointed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by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Bahá'u'lláh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Himself.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Early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life,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frequented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discussions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philosophy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and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religion,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becoming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extremely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well-verses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current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his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times.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first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gram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came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into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contact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with</w:t>
      </w:r>
      <w:proofErr w:type="gram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Faith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when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was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about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nineteen.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became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fire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for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Bahá'u'lláh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upon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reading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>Kitáb-i-Íqán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1861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>.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engaged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gram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teaching,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and</w:t>
      </w:r>
      <w:proofErr w:type="gram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was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forced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out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city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Mashád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result.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returned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to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his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native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city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Sh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áhmirzad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province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Kh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urasan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to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teach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there.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was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imprisoned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for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first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time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rán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Throughout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his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life,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was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prison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total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6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times.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one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these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cases,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orders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Na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iri'd-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Dín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Sh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áh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and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his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son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Kamran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Mírzá,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Governor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rán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suffered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imprisonment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rán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for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18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months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gram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1891,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but</w:t>
      </w:r>
      <w:proofErr w:type="gram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was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released.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attained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presence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Bahá'u'lláh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twice,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once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1873,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and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second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time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1888.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was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recipient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many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Tablets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from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Blessed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Beauty,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including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one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which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revealed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special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prayer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for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Hands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Cause.</w:t>
      </w:r>
    </w:p>
    <w:p w14:paraId="094F1F81" w14:textId="77777777" w:rsidR="00DC65C4" w:rsidRPr="00906B7E" w:rsidRDefault="00DC65C4" w:rsidP="001E7383">
      <w:pPr>
        <w:pStyle w:val="EndnoteText"/>
        <w:jc w:val="both"/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</w:pPr>
    </w:p>
    <w:p w14:paraId="3B78487E" w14:textId="77777777" w:rsidR="00DC65C4" w:rsidRPr="00906B7E" w:rsidRDefault="00DC65C4" w:rsidP="001E7383">
      <w:pPr>
        <w:pStyle w:val="EndnoteText"/>
        <w:jc w:val="both"/>
        <w:rPr>
          <w:rFonts w:ascii="Tahoma" w:hAnsi="Tahoma" w:cs="Tahoma"/>
          <w:sz w:val="32"/>
          <w:szCs w:val="32"/>
          <w:lang w:val="en-GB"/>
        </w:rPr>
      </w:pPr>
      <w:proofErr w:type="spellStart"/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ají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kh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und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rendered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many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services,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both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to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Faith,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and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his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country.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was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ají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kh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und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who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interceded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to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Bahá'u'lláh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behalf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people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Irán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begging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for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relief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from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severe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famine,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which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had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been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sent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chastisement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after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martyrdom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Badí.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was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also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this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same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ají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kh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und,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with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aid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Jamál-i-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Burujird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who,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1867-68,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helped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to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transfer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remains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Báb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from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Shine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Imám-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Zadih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Ma'sum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rán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to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Mosque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Ma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sh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a'u'lláh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village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Ch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sh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mih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-'Alí,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and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from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thence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to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home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Mírzá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asan-i-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Vazir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again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in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proofErr w:type="spellStart"/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T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i</w:t>
      </w:r>
      <w:r w:rsidRPr="00906B7E">
        <w:rPr>
          <w:rFonts w:ascii="Tahoma" w:hAnsi="Tahoma" w:cs="Tahoma"/>
          <w:color w:val="000000"/>
          <w:sz w:val="32"/>
          <w:szCs w:val="32"/>
          <w:u w:val="single"/>
          <w:shd w:val="clear" w:color="auto" w:fill="FFFFFF"/>
          <w:lang w:val="en-GB"/>
        </w:rPr>
        <w:t>h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rán</w:t>
      </w:r>
      <w:proofErr w:type="spellEnd"/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See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>Revelation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>Bahá'u'lláh,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Vol.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3,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pp.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85-6,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200-1,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425-27,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Vol.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4,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495-301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and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>Memorials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>of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>the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i/>
          <w:iCs/>
          <w:color w:val="000000"/>
          <w:sz w:val="32"/>
          <w:szCs w:val="32"/>
          <w:shd w:val="clear" w:color="auto" w:fill="FFFFFF"/>
          <w:lang w:val="en-GB"/>
        </w:rPr>
        <w:t>Faithful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,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pp.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9-12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(MW's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Pr="00906B7E">
        <w:rPr>
          <w:rFonts w:ascii="Tahoma" w:hAnsi="Tahoma" w:cs="Tahoma"/>
          <w:color w:val="000000"/>
          <w:sz w:val="32"/>
          <w:szCs w:val="32"/>
          <w:shd w:val="clear" w:color="auto" w:fill="FFFFFF"/>
          <w:lang w:val="en-GB"/>
        </w:rPr>
        <w:t>note).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24"/>
        <w:szCs w:val="24"/>
      </w:rPr>
      <w:id w:val="-170344988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15190358" w14:textId="12845CE5" w:rsidR="002775C9" w:rsidRPr="002775C9" w:rsidRDefault="002775C9">
            <w:pPr>
              <w:pStyle w:val="Footer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775C9">
              <w:rPr>
                <w:rFonts w:ascii="Tahoma" w:hAnsi="Tahoma" w:cs="Tahoma"/>
                <w:sz w:val="24"/>
                <w:szCs w:val="24"/>
              </w:rPr>
              <w:t xml:space="preserve">Page </w:t>
            </w:r>
            <w:r w:rsidRPr="002775C9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2775C9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PAGE </w:instrText>
            </w:r>
            <w:r w:rsidRPr="002775C9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2775C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2</w:t>
            </w:r>
            <w:r w:rsidRPr="002775C9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2775C9">
              <w:rPr>
                <w:rFonts w:ascii="Tahoma" w:hAnsi="Tahoma" w:cs="Tahoma"/>
                <w:sz w:val="24"/>
                <w:szCs w:val="24"/>
              </w:rPr>
              <w:t xml:space="preserve"> of </w:t>
            </w:r>
            <w:r w:rsidRPr="002775C9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2775C9">
              <w:rPr>
                <w:rFonts w:ascii="Tahoma" w:hAnsi="Tahoma" w:cs="Tahoma"/>
                <w:b/>
                <w:bCs/>
                <w:sz w:val="24"/>
                <w:szCs w:val="24"/>
              </w:rPr>
              <w:instrText xml:space="preserve"> NUMPAGES  </w:instrText>
            </w:r>
            <w:r w:rsidRPr="002775C9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Pr="002775C9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2</w:t>
            </w:r>
            <w:r w:rsidRPr="002775C9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3F334" w14:textId="77777777" w:rsidR="00C80130" w:rsidRDefault="00C80130" w:rsidP="001E7383">
      <w:pPr>
        <w:spacing w:after="0" w:line="240" w:lineRule="auto"/>
      </w:pPr>
      <w:r>
        <w:separator/>
      </w:r>
    </w:p>
  </w:footnote>
  <w:footnote w:type="continuationSeparator" w:id="0">
    <w:p w14:paraId="751BADD6" w14:textId="77777777" w:rsidR="00C80130" w:rsidRDefault="00C80130" w:rsidP="001E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14"/>
    <w:rsid w:val="00014614"/>
    <w:rsid w:val="001E7383"/>
    <w:rsid w:val="002146A7"/>
    <w:rsid w:val="002775C9"/>
    <w:rsid w:val="003D4661"/>
    <w:rsid w:val="00906B7E"/>
    <w:rsid w:val="00C37DDB"/>
    <w:rsid w:val="00C80130"/>
    <w:rsid w:val="00DC65C4"/>
    <w:rsid w:val="00DD70E9"/>
    <w:rsid w:val="00F83B7A"/>
    <w:rsid w:val="00F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704E"/>
  <w15:chartTrackingRefBased/>
  <w15:docId w15:val="{80B732AC-D3FC-4FFA-99AE-2B2871F2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4614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4614"/>
    <w:rPr>
      <w:rFonts w:ascii="Calibri" w:eastAsia="Times New Roman" w:hAnsi="Calibri" w:cs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3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3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3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70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70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70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6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B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7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9"/>
  </w:style>
  <w:style w:type="paragraph" w:styleId="Footer">
    <w:name w:val="footer"/>
    <w:basedOn w:val="Normal"/>
    <w:link w:val="FooterChar"/>
    <w:uiPriority w:val="99"/>
    <w:unhideWhenUsed/>
    <w:rsid w:val="00277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hai-library.com/abdulbaha_day_martyrdom_bahaull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899D-08E2-4CB1-A8B5-FA73EF50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'Abdu'l-Bahá;Bahá'í Faith;Bahá'í</Manager>
  <Company>'Abdu'l-Bahá; Bahá'í Faith; Bahá'í;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Tablet Concerning Day of Martyrdom of the Báb by ‘Abdu’l-Bahá</dc:title>
  <dc:subject>The Báb; Martyrdom; Tablet; 'Abdu'l-Bahá; Bahá'í;</dc:subject>
  <dc:creator>'Abdu'l-Bahá</dc:creator>
  <cp:keywords>The Báb; Martyrdom; Tablet; 'Abdu'l-Bahá; Bahá'í;</cp:keywords>
  <dc:description/>
  <cp:lastModifiedBy>Vaughan Smith</cp:lastModifiedBy>
  <cp:revision>10</cp:revision>
  <cp:lastPrinted>2021-07-09T09:13:00Z</cp:lastPrinted>
  <dcterms:created xsi:type="dcterms:W3CDTF">2021-06-28T07:03:00Z</dcterms:created>
  <dcterms:modified xsi:type="dcterms:W3CDTF">2021-07-09T09:14:00Z</dcterms:modified>
  <cp:category>The Báb;Martyrdom;Tablet;'Abdu'l-Bahá;Bahá'í</cp:category>
</cp:coreProperties>
</file>