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5A80" w14:textId="77777777" w:rsidR="00C92EE5" w:rsidRPr="00457A60" w:rsidRDefault="00C92EE5" w:rsidP="00C92EE5">
      <w:pPr>
        <w:pStyle w:val="Heading1"/>
        <w:numPr>
          <w:ilvl w:val="0"/>
          <w:numId w:val="0"/>
        </w:numPr>
        <w:jc w:val="center"/>
        <w:rPr>
          <w:rFonts w:eastAsia="SimSun"/>
          <w:color w:val="0070C0"/>
          <w:sz w:val="22"/>
          <w:szCs w:val="22"/>
        </w:rPr>
      </w:pPr>
      <w:bookmarkStart w:id="0" w:name="_Toc11674259"/>
      <w:bookmarkStart w:id="1" w:name="_Toc11674592"/>
      <w:bookmarkStart w:id="2" w:name="_Toc11674791"/>
      <w:bookmarkStart w:id="3" w:name="_Toc11675048"/>
      <w:bookmarkStart w:id="4" w:name="_Toc11827097"/>
      <w:r w:rsidRPr="00457A60">
        <w:rPr>
          <w:color w:val="7030A0"/>
          <w:sz w:val="36"/>
          <w:szCs w:val="36"/>
          <w:lang w:eastAsia="en-GB"/>
        </w:rPr>
        <w:t>34.</w:t>
      </w:r>
      <w:r w:rsidRPr="00457A60">
        <w:rPr>
          <w:b/>
          <w:bCs/>
          <w:color w:val="7030A0"/>
          <w:sz w:val="36"/>
          <w:szCs w:val="36"/>
          <w:lang w:eastAsia="en-GB"/>
        </w:rPr>
        <w:t xml:space="preserve"> </w:t>
      </w:r>
      <w:r w:rsidRPr="00457A60">
        <w:rPr>
          <w:b/>
          <w:bCs/>
          <w:color w:val="7030A0"/>
          <w:sz w:val="36"/>
          <w:szCs w:val="36"/>
          <w:cs/>
          <w:lang w:eastAsia="en-GB"/>
        </w:rPr>
        <w:t>บ้านของท่านนายในไฮฟา</w:t>
      </w:r>
      <w:r w:rsidRPr="00457A60">
        <w:rPr>
          <w:color w:val="7030A0"/>
          <w:sz w:val="36"/>
          <w:szCs w:val="36"/>
        </w:rPr>
        <w:t xml:space="preserve"> </w:t>
      </w:r>
      <w:r w:rsidRPr="00457A60">
        <w:rPr>
          <w:rStyle w:val="FootnoteReference"/>
          <w:color w:val="7030A0"/>
          <w:sz w:val="36"/>
          <w:szCs w:val="36"/>
        </w:rPr>
        <w:footnoteReference w:id="1"/>
      </w:r>
      <w:r w:rsidRPr="00457A60">
        <w:rPr>
          <w:color w:val="7030A0"/>
          <w:sz w:val="36"/>
          <w:szCs w:val="36"/>
        </w:rPr>
        <w:t xml:space="preserve"> </w:t>
      </w:r>
      <w:r w:rsidRPr="00457A60">
        <w:rPr>
          <w:rFonts w:eastAsia="SimSun"/>
          <w:color w:val="0070C0"/>
          <w:sz w:val="22"/>
          <w:szCs w:val="22"/>
        </w:rPr>
        <w:t>[The Master’s Home in Haifa]</w:t>
      </w:r>
      <w:bookmarkEnd w:id="0"/>
      <w:bookmarkEnd w:id="1"/>
      <w:bookmarkEnd w:id="2"/>
      <w:bookmarkEnd w:id="3"/>
      <w:bookmarkEnd w:id="4"/>
    </w:p>
    <w:p w14:paraId="5299A210" w14:textId="77777777" w:rsidR="00C92EE5" w:rsidRPr="00457A60" w:rsidRDefault="00C92EE5" w:rsidP="00C92EE5">
      <w:pPr>
        <w:rPr>
          <w:sz w:val="30"/>
          <w:szCs w:val="30"/>
          <w:lang w:val="en-GB"/>
        </w:rPr>
      </w:pPr>
    </w:p>
    <w:p w14:paraId="6AEB172D" w14:textId="77777777" w:rsidR="00C92EE5" w:rsidRPr="00457A60" w:rsidRDefault="00C92EE5" w:rsidP="00C92EE5">
      <w:pPr>
        <w:rPr>
          <w:sz w:val="30"/>
          <w:szCs w:val="30"/>
          <w:lang w:val="en-GB"/>
        </w:rPr>
      </w:pPr>
      <w:r w:rsidRPr="00457A60">
        <w:rPr>
          <w:sz w:val="30"/>
          <w:szCs w:val="30"/>
          <w:cs/>
          <w:lang w:val="en-GB"/>
        </w:rPr>
        <w:t>พระอับดุลบาฮามีความกระตือรือร้นที่จะสร้างพระสถูปของพระบ๊อบให้แล้วเสร็จ พระองค์จึงรู้สึกว่าน่าจะกำกับดูแลการก่อสร้างด้วยตัวพระองค์เองเพื่อเร่งให้การก่อสร้างเสร็จโดยไว ดังนั้นพระองค์จึงหาหนทางสร้างบ้านในไฮฟาเพื่อที่จะได้อยู่ใกล้กับสถานที่ก่อสร้าง</w:t>
      </w:r>
    </w:p>
    <w:p w14:paraId="57E5119B" w14:textId="77777777" w:rsidR="00C92EE5" w:rsidRPr="00457A60" w:rsidRDefault="00C92EE5" w:rsidP="00C92EE5">
      <w:pPr>
        <w:rPr>
          <w:sz w:val="30"/>
          <w:szCs w:val="30"/>
          <w:lang w:val="en-GB"/>
        </w:rPr>
      </w:pPr>
    </w:p>
    <w:p w14:paraId="09E155AE" w14:textId="77777777" w:rsidR="00C92EE5" w:rsidRPr="00457A60" w:rsidRDefault="00C92EE5" w:rsidP="00C92EE5">
      <w:pPr>
        <w:rPr>
          <w:sz w:val="30"/>
          <w:szCs w:val="30"/>
          <w:lang w:val="en-GB"/>
        </w:rPr>
      </w:pPr>
      <w:r w:rsidRPr="00457A60">
        <w:rPr>
          <w:sz w:val="30"/>
          <w:szCs w:val="30"/>
          <w:cs/>
          <w:lang w:val="en-GB"/>
        </w:rPr>
        <w:t>ทันทีที่บ้านหลังนี้สร้างเสร็จ พระองค์ย้ายคนในครอบครัวส่วนหนึ่งซึ่งรวมทั้งพระผู้เป็นใบไม้ที่ศักดิ์สิทธิ์ที่สุด</w:t>
      </w:r>
      <w:r w:rsidRPr="00457A60">
        <w:rPr>
          <w:sz w:val="30"/>
          <w:szCs w:val="30"/>
          <w:lang w:val="en-GB"/>
        </w:rPr>
        <w:t xml:space="preserve"> </w:t>
      </w:r>
      <w:r w:rsidRPr="00457A60">
        <w:rPr>
          <w:rStyle w:val="FootnoteReference"/>
          <w:sz w:val="30"/>
          <w:szCs w:val="30"/>
          <w:lang w:val="en-GB"/>
        </w:rPr>
        <w:footnoteReference w:id="2"/>
      </w:r>
      <w:r w:rsidRPr="00457A60">
        <w:rPr>
          <w:sz w:val="30"/>
          <w:szCs w:val="30"/>
          <w:lang w:val="en-GB"/>
        </w:rPr>
        <w:t xml:space="preserve"> </w:t>
      </w:r>
      <w:r w:rsidRPr="00457A60">
        <w:rPr>
          <w:sz w:val="30"/>
          <w:szCs w:val="30"/>
          <w:cs/>
          <w:lang w:val="en-GB"/>
        </w:rPr>
        <w:t>และท่านโช</w:t>
      </w:r>
      <w:proofErr w:type="spellStart"/>
      <w:r w:rsidRPr="00457A60">
        <w:rPr>
          <w:sz w:val="30"/>
          <w:szCs w:val="30"/>
          <w:cs/>
          <w:lang w:val="en-GB"/>
        </w:rPr>
        <w:t>กิ</w:t>
      </w:r>
      <w:proofErr w:type="spellEnd"/>
      <w:r w:rsidRPr="00457A60">
        <w:rPr>
          <w:sz w:val="30"/>
          <w:szCs w:val="30"/>
          <w:cs/>
          <w:lang w:val="en-GB"/>
        </w:rPr>
        <w:t xml:space="preserve"> เอฟ</w:t>
      </w:r>
      <w:proofErr w:type="spellStart"/>
      <w:r w:rsidRPr="00457A60">
        <w:rPr>
          <w:sz w:val="30"/>
          <w:szCs w:val="30"/>
          <w:cs/>
          <w:lang w:val="en-GB"/>
        </w:rPr>
        <w:t>เฟนดิ</w:t>
      </w:r>
      <w:proofErr w:type="spellEnd"/>
      <w:r w:rsidRPr="00457A60">
        <w:rPr>
          <w:sz w:val="30"/>
          <w:szCs w:val="30"/>
          <w:cs/>
          <w:lang w:val="en-GB"/>
        </w:rPr>
        <w:t xml:space="preserve"> ซึ่งขณะนั้นยังเป็นเด็กจากอ</w:t>
      </w:r>
      <w:proofErr w:type="spellStart"/>
      <w:r w:rsidRPr="00457A60">
        <w:rPr>
          <w:sz w:val="30"/>
          <w:szCs w:val="30"/>
          <w:cs/>
          <w:lang w:val="en-GB"/>
        </w:rPr>
        <w:t>ัค</w:t>
      </w:r>
      <w:proofErr w:type="spellEnd"/>
      <w:r w:rsidRPr="00457A60">
        <w:rPr>
          <w:sz w:val="30"/>
          <w:szCs w:val="30"/>
          <w:cs/>
          <w:lang w:val="en-GB"/>
        </w:rPr>
        <w:t>คาสู่บ้านใหม่ในไฮฟา ส่วนท่านนายตามมาอยู่ที่บ้านหลังนี้ด้วยในภายหลัง</w:t>
      </w:r>
    </w:p>
    <w:p w14:paraId="24A0BD0B" w14:textId="77777777" w:rsidR="00C92EE5" w:rsidRPr="00457A60" w:rsidRDefault="00C92EE5" w:rsidP="00C92EE5">
      <w:pPr>
        <w:rPr>
          <w:sz w:val="30"/>
          <w:szCs w:val="30"/>
          <w:lang w:val="en-GB"/>
        </w:rPr>
      </w:pPr>
    </w:p>
    <w:p w14:paraId="458117C0" w14:textId="77777777" w:rsidR="00C92EE5" w:rsidRPr="00457A60" w:rsidRDefault="00C92EE5" w:rsidP="00C92EE5">
      <w:pPr>
        <w:rPr>
          <w:sz w:val="30"/>
          <w:szCs w:val="30"/>
          <w:lang w:val="en-GB"/>
        </w:rPr>
      </w:pPr>
      <w:r w:rsidRPr="00457A60">
        <w:rPr>
          <w:sz w:val="30"/>
          <w:szCs w:val="30"/>
          <w:cs/>
          <w:lang w:val="en-GB"/>
        </w:rPr>
        <w:t>บ้านนี้กลายเป็นบ้านอย่างเป็นทางการเมื่อปี พ.ศ. 2456 (ค.ศ. 1913) ของพระอับดุลบาฮาหลังจากที่กลับจากการไปเยี่ยมประเทศต่างๆ ในตะวันตก ที่นี่เองที่พระองค์ต้อนรับผู้แสวงบุญ และที่นี่เช่นกันที่ท่านโช</w:t>
      </w:r>
      <w:proofErr w:type="spellStart"/>
      <w:r w:rsidRPr="00457A60">
        <w:rPr>
          <w:sz w:val="30"/>
          <w:szCs w:val="30"/>
          <w:cs/>
          <w:lang w:val="en-GB"/>
        </w:rPr>
        <w:t>กิ</w:t>
      </w:r>
      <w:proofErr w:type="spellEnd"/>
      <w:r w:rsidRPr="00457A60">
        <w:rPr>
          <w:sz w:val="30"/>
          <w:szCs w:val="30"/>
          <w:cs/>
          <w:lang w:val="en-GB"/>
        </w:rPr>
        <w:t xml:space="preserve"> เอฟ</w:t>
      </w:r>
      <w:proofErr w:type="spellStart"/>
      <w:r w:rsidRPr="00457A60">
        <w:rPr>
          <w:sz w:val="30"/>
          <w:szCs w:val="30"/>
          <w:cs/>
          <w:lang w:val="en-GB"/>
        </w:rPr>
        <w:t>เฟนดิ</w:t>
      </w:r>
      <w:proofErr w:type="spellEnd"/>
      <w:r w:rsidRPr="00457A60">
        <w:rPr>
          <w:sz w:val="30"/>
          <w:szCs w:val="30"/>
          <w:cs/>
          <w:lang w:val="en-GB"/>
        </w:rPr>
        <w:t>ทำหน้าที่เลขานุการแก่ท่านตาหลังจากที่สงครามสงบ</w:t>
      </w:r>
    </w:p>
    <w:p w14:paraId="047908E7" w14:textId="77777777" w:rsidR="00C92EE5" w:rsidRPr="00457A60" w:rsidRDefault="00C92EE5" w:rsidP="00C92EE5">
      <w:pPr>
        <w:rPr>
          <w:sz w:val="30"/>
          <w:szCs w:val="30"/>
          <w:lang w:val="en-GB"/>
        </w:rPr>
      </w:pPr>
    </w:p>
    <w:p w14:paraId="32574BD4" w14:textId="77777777" w:rsidR="00C92EE5" w:rsidRPr="00457A60" w:rsidRDefault="00C92EE5" w:rsidP="00C92EE5">
      <w:pPr>
        <w:rPr>
          <w:sz w:val="30"/>
          <w:szCs w:val="30"/>
          <w:lang w:val="en-GB"/>
        </w:rPr>
      </w:pPr>
      <w:r w:rsidRPr="00457A60">
        <w:rPr>
          <w:sz w:val="30"/>
          <w:szCs w:val="30"/>
          <w:cs/>
          <w:lang w:val="en-GB"/>
        </w:rPr>
        <w:t>เมื่อเข้าไปในบ้านของพระอับดุลบาฮา ห้องทางขวามือคือห้องที่พระอับดุลบาฮาถึงแก่มรณภาพสู่อาณาจักรอับภา หลังจากที่ท่านพระหัตถ์ศาสนาได้รับแต่งตั้งให้เป็น</w:t>
      </w:r>
      <w:proofErr w:type="spellStart"/>
      <w:r w:rsidRPr="00457A60">
        <w:rPr>
          <w:sz w:val="30"/>
          <w:szCs w:val="30"/>
          <w:cs/>
          <w:lang w:val="en-GB"/>
        </w:rPr>
        <w:t>ศา</w:t>
      </w:r>
      <w:proofErr w:type="spellEnd"/>
      <w:r w:rsidRPr="00457A60">
        <w:rPr>
          <w:sz w:val="30"/>
          <w:szCs w:val="30"/>
          <w:cs/>
          <w:lang w:val="en-GB"/>
        </w:rPr>
        <w:t>สน</w:t>
      </w:r>
      <w:proofErr w:type="spellStart"/>
      <w:r w:rsidRPr="00457A60">
        <w:rPr>
          <w:sz w:val="30"/>
          <w:szCs w:val="30"/>
          <w:cs/>
          <w:lang w:val="en-GB"/>
        </w:rPr>
        <w:t>ภิ</w:t>
      </w:r>
      <w:proofErr w:type="spellEnd"/>
      <w:r w:rsidRPr="00457A60">
        <w:rPr>
          <w:sz w:val="30"/>
          <w:szCs w:val="30"/>
          <w:cs/>
          <w:lang w:val="en-GB"/>
        </w:rPr>
        <w:t>บาล ท่านยังคงสืบจ</w:t>
      </w:r>
      <w:proofErr w:type="spellStart"/>
      <w:r w:rsidRPr="00457A60">
        <w:rPr>
          <w:sz w:val="30"/>
          <w:szCs w:val="30"/>
          <w:cs/>
          <w:lang w:val="en-GB"/>
        </w:rPr>
        <w:t>ริย</w:t>
      </w:r>
      <w:proofErr w:type="spellEnd"/>
      <w:r w:rsidRPr="00457A60">
        <w:rPr>
          <w:sz w:val="30"/>
          <w:szCs w:val="30"/>
          <w:cs/>
          <w:lang w:val="en-GB"/>
        </w:rPr>
        <w:t>วัตรของท่านนายด้วยการรับแขกในห้องที่อยู่ทางซ้ายมือ</w:t>
      </w:r>
    </w:p>
    <w:p w14:paraId="5A04C98C" w14:textId="77777777" w:rsidR="00C92EE5" w:rsidRPr="00457A60" w:rsidRDefault="00C92EE5" w:rsidP="00C92EE5">
      <w:pPr>
        <w:rPr>
          <w:sz w:val="30"/>
          <w:szCs w:val="30"/>
          <w:lang w:val="en-GB"/>
        </w:rPr>
      </w:pPr>
    </w:p>
    <w:p w14:paraId="04B4EF48" w14:textId="77777777" w:rsidR="00C92EE5" w:rsidRPr="00457A60" w:rsidRDefault="00C92EE5" w:rsidP="00C92EE5">
      <w:pPr>
        <w:rPr>
          <w:sz w:val="30"/>
          <w:szCs w:val="30"/>
          <w:lang w:val="en-GB"/>
        </w:rPr>
      </w:pPr>
      <w:r w:rsidRPr="00457A60">
        <w:rPr>
          <w:sz w:val="30"/>
          <w:szCs w:val="30"/>
          <w:cs/>
          <w:lang w:val="en-GB"/>
        </w:rPr>
        <w:t>ห้องโถงกลางของบ้านมีความสำคัญเป็นพิเศษ เพราะเป็นสถานที่รวมตัวกันเพื่อฟังพินัยกรรมของพระอับดุลบาฮาซึ่งประกาศให้ท่านโช</w:t>
      </w:r>
      <w:proofErr w:type="spellStart"/>
      <w:r w:rsidRPr="00457A60">
        <w:rPr>
          <w:sz w:val="30"/>
          <w:szCs w:val="30"/>
          <w:cs/>
          <w:lang w:val="en-GB"/>
        </w:rPr>
        <w:t>กิ</w:t>
      </w:r>
      <w:proofErr w:type="spellEnd"/>
      <w:r w:rsidRPr="00457A60">
        <w:rPr>
          <w:sz w:val="30"/>
          <w:szCs w:val="30"/>
          <w:cs/>
          <w:lang w:val="en-GB"/>
        </w:rPr>
        <w:t xml:space="preserve"> เอฟ</w:t>
      </w:r>
      <w:proofErr w:type="spellStart"/>
      <w:r w:rsidRPr="00457A60">
        <w:rPr>
          <w:sz w:val="30"/>
          <w:szCs w:val="30"/>
          <w:cs/>
          <w:lang w:val="en-GB"/>
        </w:rPr>
        <w:t>เฟนดิ</w:t>
      </w:r>
      <w:proofErr w:type="spellEnd"/>
      <w:r w:rsidRPr="00457A60">
        <w:rPr>
          <w:sz w:val="30"/>
          <w:szCs w:val="30"/>
          <w:cs/>
          <w:lang w:val="en-GB"/>
        </w:rPr>
        <w:t xml:space="preserve"> รับตำแหน่งอันสูงส่งในฐานะท่าน</w:t>
      </w:r>
      <w:proofErr w:type="spellStart"/>
      <w:r w:rsidRPr="00457A60">
        <w:rPr>
          <w:sz w:val="30"/>
          <w:szCs w:val="30"/>
          <w:cs/>
          <w:lang w:val="en-GB"/>
        </w:rPr>
        <w:t>ศา</w:t>
      </w:r>
      <w:proofErr w:type="spellEnd"/>
      <w:r w:rsidRPr="00457A60">
        <w:rPr>
          <w:sz w:val="30"/>
          <w:szCs w:val="30"/>
          <w:cs/>
          <w:lang w:val="en-GB"/>
        </w:rPr>
        <w:t>สน</w:t>
      </w:r>
      <w:proofErr w:type="spellStart"/>
      <w:r w:rsidRPr="00457A60">
        <w:rPr>
          <w:sz w:val="30"/>
          <w:szCs w:val="30"/>
          <w:cs/>
          <w:lang w:val="en-GB"/>
        </w:rPr>
        <w:t>ภิ</w:t>
      </w:r>
      <w:proofErr w:type="spellEnd"/>
      <w:r w:rsidRPr="00457A60">
        <w:rPr>
          <w:sz w:val="30"/>
          <w:szCs w:val="30"/>
          <w:cs/>
          <w:lang w:val="en-GB"/>
        </w:rPr>
        <w:t>บาลของศาสนา และที่นี่อีกเช่นกัน เป็นสถานที่ประชุมบาไฮนานาชาติครั้งแรกเพื่อเลือกตั้งสภายุติธรรมแห่งสากลในปี พ.ศ. 2506 (ค.ศ. 1963)</w:t>
      </w:r>
    </w:p>
    <w:p w14:paraId="2C4C5474" w14:textId="77777777" w:rsidR="00C92EE5" w:rsidRPr="00457A60" w:rsidRDefault="00C92EE5" w:rsidP="00C92EE5">
      <w:pPr>
        <w:rPr>
          <w:sz w:val="30"/>
          <w:szCs w:val="30"/>
          <w:lang w:val="en-GB"/>
        </w:rPr>
      </w:pPr>
    </w:p>
    <w:p w14:paraId="0750C1EE" w14:textId="77777777" w:rsidR="00C92EE5" w:rsidRPr="00457A60" w:rsidRDefault="00C92EE5" w:rsidP="00C92EE5">
      <w:pPr>
        <w:rPr>
          <w:sz w:val="30"/>
          <w:szCs w:val="30"/>
          <w:lang w:val="en-GB"/>
        </w:rPr>
      </w:pPr>
      <w:r w:rsidRPr="00457A60">
        <w:rPr>
          <w:sz w:val="30"/>
          <w:szCs w:val="30"/>
          <w:cs/>
          <w:lang w:val="en-GB"/>
        </w:rPr>
        <w:t>ทิศตะวันตกเฉียงใต้สุดเป็นสวนซึ่งอยู่ติดกับบ้าน พระอับดุลบาฮาสร้างสิ่งปลูกสร้างเล็กๆ พระองค์สร้างกำแพงชั้นใน เพดานและพื้นของชั้นบนเป็นไม้เพื่อป้องกันความชื้น พระองค์นอนที่นี่ในตอนกลางคืนช่วงก่อนที่เกือบจะมรณภาพ</w:t>
      </w:r>
    </w:p>
    <w:p w14:paraId="402C8E7E" w14:textId="77777777" w:rsidR="00C92EE5" w:rsidRPr="00545377" w:rsidRDefault="00C92EE5" w:rsidP="00C92EE5">
      <w:pPr>
        <w:rPr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3630"/>
        <w:gridCol w:w="3034"/>
      </w:tblGrid>
      <w:tr w:rsidR="00C92EE5" w:rsidRPr="00545377" w14:paraId="0216CFF3" w14:textId="77777777" w:rsidTr="004F2786">
        <w:tc>
          <w:tcPr>
            <w:tcW w:w="0" w:type="auto"/>
            <w:vAlign w:val="center"/>
          </w:tcPr>
          <w:p w14:paraId="0863591C" w14:textId="77777777" w:rsidR="00C92EE5" w:rsidRPr="00545377" w:rsidRDefault="00C92EE5" w:rsidP="004F2786">
            <w:pPr>
              <w:rPr>
                <w:sz w:val="28"/>
                <w:szCs w:val="28"/>
              </w:rPr>
            </w:pPr>
            <w:r w:rsidRPr="00545377">
              <w:rPr>
                <w:noProof/>
                <w:sz w:val="28"/>
                <w:szCs w:val="28"/>
              </w:rPr>
              <w:drawing>
                <wp:inline distT="0" distB="0" distL="0" distR="0" wp14:anchorId="795756E4" wp14:editId="581759A4">
                  <wp:extent cx="2292667" cy="1760567"/>
                  <wp:effectExtent l="0" t="0" r="0" b="0"/>
                  <wp:docPr id="353" name="Picture 353" descr="รูปภาพของบ้านของท่านนาย (บ้านของพระอับดุลบาฮา) ในไฮฟ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 descr="รูปภาพของบ้านของท่านนาย (บ้านของพระอับดุลบาฮา) ในไฮฟ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36" cy="1792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5E38C6" w14:textId="77777777" w:rsidR="00C92EE5" w:rsidRPr="00545377" w:rsidRDefault="00C92EE5" w:rsidP="004F2786">
            <w:pPr>
              <w:rPr>
                <w:sz w:val="28"/>
                <w:szCs w:val="28"/>
              </w:rPr>
            </w:pPr>
            <w:r w:rsidRPr="00545377">
              <w:rPr>
                <w:noProof/>
                <w:sz w:val="28"/>
                <w:szCs w:val="28"/>
              </w:rPr>
              <w:drawing>
                <wp:inline distT="0" distB="0" distL="0" distR="0" wp14:anchorId="61F17446" wp14:editId="06916D19">
                  <wp:extent cx="2830188" cy="1760220"/>
                  <wp:effectExtent l="0" t="0" r="8890" b="0"/>
                  <wp:docPr id="261" name="Picture 261" descr="รูปภาพของบ้านของท่านนาย (บ้านของพระอับดุลบาฮา) ในไฮฟ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 descr="รูปภาพของบ้านของท่านนาย (บ้านของพระอับดุลบาฮา) ในไฮฟ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389" cy="176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B4E736" w14:textId="77777777" w:rsidR="00C92EE5" w:rsidRPr="00545377" w:rsidRDefault="00C92EE5" w:rsidP="004F2786">
            <w:pPr>
              <w:rPr>
                <w:sz w:val="28"/>
                <w:szCs w:val="28"/>
              </w:rPr>
            </w:pPr>
            <w:r w:rsidRPr="00545377">
              <w:rPr>
                <w:noProof/>
                <w:sz w:val="28"/>
                <w:szCs w:val="28"/>
              </w:rPr>
              <w:drawing>
                <wp:inline distT="0" distB="0" distL="0" distR="0" wp14:anchorId="22B049D4" wp14:editId="51443577">
                  <wp:extent cx="2336007" cy="1751906"/>
                  <wp:effectExtent l="0" t="0" r="7620" b="1270"/>
                  <wp:docPr id="262" name="Picture 262" descr="รูปภาพของห้องที่พระอับดุลบาฮาถึงแก่มรณภา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 descr="รูปภาพของห้องที่พระอับดุลบาฮาถึงแก่มรณภา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328" cy="177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E5" w:rsidRPr="00545377" w14:paraId="4681B707" w14:textId="77777777" w:rsidTr="004F2786">
        <w:tc>
          <w:tcPr>
            <w:tcW w:w="0" w:type="auto"/>
            <w:gridSpan w:val="2"/>
          </w:tcPr>
          <w:p w14:paraId="40343BC6" w14:textId="77777777" w:rsidR="00C92EE5" w:rsidRPr="00545377" w:rsidRDefault="00C92EE5" w:rsidP="004F2786">
            <w:pPr>
              <w:jc w:val="center"/>
              <w:rPr>
                <w:color w:val="7030A0"/>
                <w:sz w:val="28"/>
                <w:szCs w:val="28"/>
                <w:cs/>
              </w:rPr>
            </w:pPr>
            <w:bookmarkStart w:id="5" w:name="_Hlk88576050"/>
            <w:r w:rsidRPr="00545377">
              <w:rPr>
                <w:color w:val="7030A0"/>
                <w:sz w:val="28"/>
                <w:szCs w:val="28"/>
                <w:cs/>
              </w:rPr>
              <w:t>บ้านของท่านนาย (บ้านของพระอับดุลบาฮา)</w:t>
            </w:r>
            <w:r w:rsidRPr="00545377">
              <w:rPr>
                <w:color w:val="7030A0"/>
                <w:sz w:val="28"/>
                <w:szCs w:val="28"/>
              </w:rPr>
              <w:t xml:space="preserve"> </w:t>
            </w:r>
            <w:r w:rsidRPr="00545377">
              <w:rPr>
                <w:color w:val="7030A0"/>
                <w:sz w:val="28"/>
                <w:szCs w:val="28"/>
                <w:cs/>
              </w:rPr>
              <w:t>ในไฮฟา</w:t>
            </w:r>
            <w:bookmarkEnd w:id="5"/>
          </w:p>
        </w:tc>
        <w:tc>
          <w:tcPr>
            <w:tcW w:w="0" w:type="auto"/>
          </w:tcPr>
          <w:p w14:paraId="2EE5F200" w14:textId="77777777" w:rsidR="00C92EE5" w:rsidRPr="00545377" w:rsidRDefault="00C92EE5" w:rsidP="004F2786">
            <w:pPr>
              <w:jc w:val="center"/>
              <w:rPr>
                <w:color w:val="7030A0"/>
                <w:sz w:val="28"/>
                <w:szCs w:val="28"/>
                <w:cs/>
              </w:rPr>
            </w:pPr>
            <w:bookmarkStart w:id="6" w:name="_Hlk88576075"/>
            <w:r w:rsidRPr="00545377">
              <w:rPr>
                <w:color w:val="7030A0"/>
                <w:sz w:val="28"/>
                <w:szCs w:val="28"/>
                <w:cs/>
              </w:rPr>
              <w:t>ห้องที่พระอับดุลบาฮา</w:t>
            </w:r>
            <w:r w:rsidRPr="00545377">
              <w:rPr>
                <w:color w:val="7030A0"/>
                <w:sz w:val="28"/>
                <w:szCs w:val="28"/>
              </w:rPr>
              <w:br/>
            </w:r>
            <w:r w:rsidRPr="00545377">
              <w:rPr>
                <w:color w:val="7030A0"/>
                <w:sz w:val="28"/>
                <w:szCs w:val="28"/>
                <w:cs/>
              </w:rPr>
              <w:t>ถึงแก่มรณภาพ</w:t>
            </w:r>
            <w:bookmarkEnd w:id="6"/>
          </w:p>
        </w:tc>
      </w:tr>
    </w:tbl>
    <w:p w14:paraId="54A7A6F5" w14:textId="77777777" w:rsidR="00DF1D73" w:rsidRPr="000F597A" w:rsidRDefault="00DF1D73">
      <w:pPr>
        <w:rPr>
          <w:sz w:val="4"/>
          <w:szCs w:val="4"/>
        </w:rPr>
      </w:pPr>
    </w:p>
    <w:sectPr w:rsidR="00DF1D73" w:rsidRPr="000F597A" w:rsidSect="00457A60">
      <w:footerReference w:type="defaul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53AF" w14:textId="77777777" w:rsidR="00F564B4" w:rsidRDefault="00F564B4" w:rsidP="00C92EE5">
      <w:r>
        <w:separator/>
      </w:r>
    </w:p>
  </w:endnote>
  <w:endnote w:type="continuationSeparator" w:id="0">
    <w:p w14:paraId="39158D1C" w14:textId="77777777" w:rsidR="00F564B4" w:rsidRDefault="00F564B4" w:rsidP="00C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30A0"/>
        <w:sz w:val="24"/>
        <w:szCs w:val="24"/>
      </w:rPr>
      <w:id w:val="193046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EA9AF" w14:textId="197BB2D6" w:rsidR="00457A60" w:rsidRPr="00457A60" w:rsidRDefault="00457A60">
        <w:pPr>
          <w:pStyle w:val="Footer"/>
          <w:jc w:val="center"/>
          <w:rPr>
            <w:color w:val="7030A0"/>
            <w:sz w:val="24"/>
            <w:szCs w:val="24"/>
          </w:rPr>
        </w:pPr>
        <w:r w:rsidRPr="00457A60">
          <w:rPr>
            <w:color w:val="7030A0"/>
            <w:sz w:val="24"/>
            <w:szCs w:val="24"/>
          </w:rPr>
          <w:fldChar w:fldCharType="begin"/>
        </w:r>
        <w:r w:rsidRPr="00457A60">
          <w:rPr>
            <w:color w:val="7030A0"/>
            <w:sz w:val="24"/>
            <w:szCs w:val="24"/>
          </w:rPr>
          <w:instrText xml:space="preserve"> PAGE   \* MERGEFORMAT </w:instrText>
        </w:r>
        <w:r w:rsidRPr="00457A60">
          <w:rPr>
            <w:color w:val="7030A0"/>
            <w:sz w:val="24"/>
            <w:szCs w:val="24"/>
          </w:rPr>
          <w:fldChar w:fldCharType="separate"/>
        </w:r>
        <w:r w:rsidRPr="00457A60">
          <w:rPr>
            <w:noProof/>
            <w:color w:val="7030A0"/>
            <w:sz w:val="24"/>
            <w:szCs w:val="24"/>
          </w:rPr>
          <w:t>2</w:t>
        </w:r>
        <w:r w:rsidRPr="00457A60">
          <w:rPr>
            <w:noProof/>
            <w:color w:val="7030A0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27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5002F" w14:textId="79D1AB81" w:rsidR="00457A60" w:rsidRDefault="00457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CADD9" w14:textId="77777777" w:rsidR="00457A60" w:rsidRDefault="00457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EFD7" w14:textId="77777777" w:rsidR="00F564B4" w:rsidRDefault="00F564B4" w:rsidP="00C92EE5">
      <w:r>
        <w:separator/>
      </w:r>
    </w:p>
  </w:footnote>
  <w:footnote w:type="continuationSeparator" w:id="0">
    <w:p w14:paraId="5CA51E68" w14:textId="77777777" w:rsidR="00F564B4" w:rsidRDefault="00F564B4" w:rsidP="00C92EE5">
      <w:r>
        <w:continuationSeparator/>
      </w:r>
    </w:p>
  </w:footnote>
  <w:footnote w:id="1">
    <w:p w14:paraId="724DC3ED" w14:textId="77777777" w:rsidR="00C92EE5" w:rsidRPr="00457A60" w:rsidRDefault="00C92EE5" w:rsidP="00C92EE5">
      <w:pPr>
        <w:pStyle w:val="FootnoteText"/>
        <w:rPr>
          <w:szCs w:val="28"/>
        </w:rPr>
      </w:pPr>
      <w:r w:rsidRPr="00457A60">
        <w:rPr>
          <w:rStyle w:val="FootnoteReference"/>
          <w:szCs w:val="28"/>
        </w:rPr>
        <w:footnoteRef/>
      </w:r>
      <w:r w:rsidRPr="00457A60">
        <w:rPr>
          <w:szCs w:val="28"/>
        </w:rPr>
        <w:t xml:space="preserve"> </w:t>
      </w:r>
      <w:r w:rsidRPr="00457A60">
        <w:rPr>
          <w:szCs w:val="28"/>
          <w:cs/>
        </w:rPr>
        <w:t>บ้านของพระอับดุลบาฮา</w:t>
      </w:r>
    </w:p>
  </w:footnote>
  <w:footnote w:id="2">
    <w:p w14:paraId="2C625D06" w14:textId="77777777" w:rsidR="00C92EE5" w:rsidRDefault="00C92EE5" w:rsidP="00C92EE5">
      <w:pPr>
        <w:pStyle w:val="FootnoteText"/>
      </w:pPr>
      <w:r w:rsidRPr="00457A60">
        <w:rPr>
          <w:rStyle w:val="FootnoteReference"/>
          <w:szCs w:val="28"/>
        </w:rPr>
        <w:footnoteRef/>
      </w:r>
      <w:r w:rsidRPr="00457A60">
        <w:rPr>
          <w:szCs w:val="28"/>
        </w:rPr>
        <w:t xml:space="preserve"> </w:t>
      </w:r>
      <w:r w:rsidRPr="00457A60">
        <w:rPr>
          <w:szCs w:val="28"/>
          <w:cs/>
        </w:rPr>
        <w:t>บา</w:t>
      </w:r>
      <w:proofErr w:type="spellStart"/>
      <w:r w:rsidRPr="00457A60">
        <w:rPr>
          <w:szCs w:val="28"/>
          <w:cs/>
        </w:rPr>
        <w:t>ฮียีห์</w:t>
      </w:r>
      <w:proofErr w:type="spellEnd"/>
      <w:r w:rsidRPr="00457A60">
        <w:rPr>
          <w:szCs w:val="28"/>
          <w:cs/>
        </w:rPr>
        <w:t xml:space="preserve"> คา</w:t>
      </w:r>
      <w:proofErr w:type="spellStart"/>
      <w:r w:rsidRPr="00457A60">
        <w:rPr>
          <w:szCs w:val="28"/>
          <w:cs/>
        </w:rPr>
        <w:t>ห์นูม</w:t>
      </w:r>
      <w:proofErr w:type="spellEnd"/>
      <w:r w:rsidRPr="00457A60">
        <w:rPr>
          <w:szCs w:val="28"/>
          <w:cs/>
        </w:rPr>
        <w:t xml:space="preserve"> น้องสาวของพระอับดุลบาฮา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0C3"/>
    <w:multiLevelType w:val="hybridMultilevel"/>
    <w:tmpl w:val="09E25CCC"/>
    <w:lvl w:ilvl="0" w:tplc="7396D5E6">
      <w:start w:val="1"/>
      <w:numFmt w:val="decimal"/>
      <w:pStyle w:val="Heading1"/>
      <w:lvlText w:val="%1."/>
      <w:lvlJc w:val="left"/>
      <w:pPr>
        <w:ind w:left="720" w:hanging="360"/>
      </w:pPr>
      <w:rPr>
        <w:rFonts w:eastAsiaTheme="majorEastAsia" w:hint="default"/>
        <w:b w:val="0"/>
        <w:bCs/>
        <w:color w:val="00B050"/>
        <w:sz w:val="32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E5"/>
    <w:rsid w:val="000F597A"/>
    <w:rsid w:val="00192CBA"/>
    <w:rsid w:val="002B408E"/>
    <w:rsid w:val="003058BF"/>
    <w:rsid w:val="00457A60"/>
    <w:rsid w:val="00471B2F"/>
    <w:rsid w:val="004852D1"/>
    <w:rsid w:val="00544796"/>
    <w:rsid w:val="005C437B"/>
    <w:rsid w:val="005F203E"/>
    <w:rsid w:val="00606431"/>
    <w:rsid w:val="0071780E"/>
    <w:rsid w:val="00901F1D"/>
    <w:rsid w:val="00986AC5"/>
    <w:rsid w:val="00C1747A"/>
    <w:rsid w:val="00C92EE5"/>
    <w:rsid w:val="00DF1D73"/>
    <w:rsid w:val="00F564B4"/>
    <w:rsid w:val="00FA33EB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84C4F"/>
  <w15:chartTrackingRefBased/>
  <w15:docId w15:val="{3DAB8E7B-C9BD-4EA1-8608-4C8CB3D5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E5"/>
    <w:pPr>
      <w:tabs>
        <w:tab w:val="right" w:pos="9638"/>
      </w:tabs>
      <w:jc w:val="thaiDistribute"/>
    </w:pPr>
    <w:rPr>
      <w:rFonts w:ascii="Leelawadee" w:hAnsi="Leelawadee" w:cs="Leelawadee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E5"/>
    <w:pPr>
      <w:keepNext/>
      <w:keepLines/>
      <w:numPr>
        <w:numId w:val="1"/>
      </w:numPr>
      <w:suppressAutoHyphens/>
      <w:jc w:val="left"/>
      <w:outlineLvl w:val="0"/>
    </w:pPr>
    <w:rPr>
      <w:rFonts w:eastAsiaTheme="majorEastAsia"/>
      <w:color w:val="00B05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FA69C4"/>
    <w:rPr>
      <w:rFonts w:eastAsia="Tahoma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69C4"/>
    <w:rPr>
      <w:rFonts w:eastAsia="Tahoma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2EE5"/>
    <w:rPr>
      <w:rFonts w:ascii="Leelawadee" w:eastAsiaTheme="majorEastAsia" w:hAnsi="Leelawadee" w:cs="Leelawadee"/>
      <w:color w:val="00B050"/>
    </w:rPr>
  </w:style>
  <w:style w:type="table" w:styleId="TableGrid">
    <w:name w:val="Table Grid"/>
    <w:basedOn w:val="TableNormal"/>
    <w:uiPriority w:val="59"/>
    <w:rsid w:val="00C92EE5"/>
    <w:rPr>
      <w:rFonts w:ascii="Leelawadee" w:eastAsiaTheme="minorEastAsia" w:hAnsi="Leelawadee" w:cs="Leelawadee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92E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7A60"/>
    <w:pPr>
      <w:tabs>
        <w:tab w:val="clear" w:pos="9638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57A60"/>
    <w:rPr>
      <w:rFonts w:ascii="Leelawadee" w:hAnsi="Leelawadee" w:cs="Angsana New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7A60"/>
    <w:pPr>
      <w:tabs>
        <w:tab w:val="clear" w:pos="9638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57A60"/>
    <w:rPr>
      <w:rFonts w:ascii="Leelawadee" w:hAnsi="Leelawadee" w:cs="Angsana New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A232-1AA0-459D-A260-C01A2F7D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บ้านของพระอับดุลบาฮาในไฮฟา;</vt:lpstr>
    </vt:vector>
  </TitlesOfParts>
  <Manager>พระอับดุลบาฮา;สภายุติธรรมสากล;ศาสนาบาไฮ;บาไฮ</Manager>
  <Company>พระอับดุลบาฮา; สภายุติธรรมสากล; ศาสนาบาไฮ; บาไฮ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บ้านของท่านนาย (บ้านของพระอับดุลบาฮา) ในไฮฟา</dc:title>
  <dc:subject>พระอับดุลบาฮา; บ้านของท่านนายในไฮฟา; บ้านของพระอับดุลบาฮาในไฮฟา; บาไฮ; ศาสนาบาไฮ;</dc:subject>
  <dc:creator>พระอับดุลบาฮา;สภายุติธรรมสากล;ศาสนาบาไฮ;บาไฮ</dc:creator>
  <cp:keywords>พระอับดุลบาฮา; บ้านของท่านนายในไฮฟา; บ้านของพระอับดุลบาฮาในไฮฟา; บาไฮ; ศาสนาบาไฮ;</cp:keywords>
  <dc:description/>
  <cp:lastModifiedBy>Vaughan Smith</cp:lastModifiedBy>
  <cp:revision>8</cp:revision>
  <cp:lastPrinted>2021-11-23T09:26:00Z</cp:lastPrinted>
  <dcterms:created xsi:type="dcterms:W3CDTF">2021-11-23T07:20:00Z</dcterms:created>
  <dcterms:modified xsi:type="dcterms:W3CDTF">2021-11-23T09:26:00Z</dcterms:modified>
  <cp:category>พระอับดุลบาฮา;บ้านของท่านนายในไฮฟา;บ้านของพระอับดุลบาฮาในไฮฟา;บาไฮ;ศาสนาบาไฮ</cp:category>
</cp:coreProperties>
</file>