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121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2"/>
        <w:gridCol w:w="3972"/>
      </w:tblGrid>
      <w:tr w:rsidR="00AC7773" w:rsidRPr="00545377" w14:paraId="21D758C9" w14:textId="77777777" w:rsidTr="00AC7773">
        <w:trPr>
          <w:jc w:val="center"/>
        </w:trPr>
        <w:tc>
          <w:tcPr>
            <w:tcW w:w="2500" w:type="pct"/>
            <w:vAlign w:val="bottom"/>
          </w:tcPr>
          <w:p w14:paraId="05940D2A" w14:textId="77777777" w:rsidR="00AC7773" w:rsidRPr="00545377" w:rsidRDefault="00AC7773" w:rsidP="004F2786">
            <w:pPr>
              <w:rPr>
                <w:sz w:val="28"/>
                <w:szCs w:val="28"/>
              </w:rPr>
            </w:pPr>
            <w:r w:rsidRPr="00545377">
              <w:rPr>
                <w:noProof/>
                <w:sz w:val="28"/>
                <w:szCs w:val="28"/>
              </w:rPr>
              <w:drawing>
                <wp:inline distT="0" distB="0" distL="0" distR="0" wp14:anchorId="19CFBD50" wp14:editId="49CD85E9">
                  <wp:extent cx="2379980" cy="4765675"/>
                  <wp:effectExtent l="0" t="0" r="1270" b="0"/>
                  <wp:docPr id="222" name="Picture 222" descr="รูปภาพของระเบียงพระสถูปของพระบ๊อ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 descr="รูปภาพของระเบียงพระสถูปของพระบ๊อ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980" cy="476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14:paraId="1BC9A54E" w14:textId="77777777" w:rsidR="00AC7773" w:rsidRPr="00545377" w:rsidRDefault="00AC7773" w:rsidP="004F2786">
            <w:pPr>
              <w:rPr>
                <w:sz w:val="28"/>
                <w:szCs w:val="28"/>
              </w:rPr>
            </w:pPr>
            <w:r w:rsidRPr="00545377">
              <w:rPr>
                <w:noProof/>
                <w:sz w:val="28"/>
                <w:szCs w:val="28"/>
              </w:rPr>
              <w:drawing>
                <wp:inline distT="0" distB="0" distL="0" distR="0" wp14:anchorId="46841646" wp14:editId="0E1A8EBB">
                  <wp:extent cx="2385646" cy="4771292"/>
                  <wp:effectExtent l="0" t="0" r="0" b="0"/>
                  <wp:docPr id="212" name="Picture 212" descr="ระเบียงระเบียงพระสถูปของพระบ๊อบตอนกลางคื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 descr="ระเบียงระเบียงพระสถูปของพระบ๊อบตอนกลางคื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67" cy="479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3" w:rsidRPr="00545377" w14:paraId="0D47A065" w14:textId="77777777" w:rsidTr="00AC7773">
        <w:trPr>
          <w:jc w:val="center"/>
        </w:trPr>
        <w:tc>
          <w:tcPr>
            <w:tcW w:w="5000" w:type="pct"/>
            <w:gridSpan w:val="2"/>
            <w:vAlign w:val="bottom"/>
          </w:tcPr>
          <w:p w14:paraId="5D75DA61" w14:textId="77777777" w:rsidR="00AC7773" w:rsidRPr="00545377" w:rsidRDefault="00AC7773" w:rsidP="004F2786">
            <w:pPr>
              <w:jc w:val="center"/>
              <w:rPr>
                <w:color w:val="7030A0"/>
                <w:sz w:val="28"/>
                <w:szCs w:val="28"/>
                <w:cs/>
              </w:rPr>
            </w:pPr>
            <w:r w:rsidRPr="00545377">
              <w:rPr>
                <w:color w:val="7030A0"/>
                <w:sz w:val="28"/>
                <w:szCs w:val="28"/>
                <w:cs/>
              </w:rPr>
              <w:t>ระเบียงพระสถูปของพระบ๊อบ</w:t>
            </w:r>
          </w:p>
        </w:tc>
      </w:tr>
    </w:tbl>
    <w:p w14:paraId="0FE0FE6A" w14:textId="475DAFFE" w:rsidR="00AC7773" w:rsidRDefault="00AC7773" w:rsidP="00AC7773">
      <w:pPr>
        <w:rPr>
          <w:lang w:val="en-GB"/>
        </w:rPr>
      </w:pPr>
    </w:p>
    <w:p w14:paraId="4CE88BE8" w14:textId="77777777" w:rsidR="00AC7773" w:rsidRPr="00545377" w:rsidRDefault="00AC7773" w:rsidP="00AC7773">
      <w:pPr>
        <w:pStyle w:val="Heading1"/>
        <w:numPr>
          <w:ilvl w:val="0"/>
          <w:numId w:val="0"/>
        </w:numPr>
        <w:jc w:val="center"/>
        <w:rPr>
          <w:rFonts w:asciiTheme="minorHAnsi" w:eastAsia="SimSun" w:hAnsiTheme="minorHAnsi" w:cstheme="minorHAnsi"/>
          <w:color w:val="0070C0"/>
          <w:sz w:val="20"/>
          <w:szCs w:val="20"/>
        </w:rPr>
      </w:pPr>
      <w:bookmarkStart w:id="0" w:name="_Toc11674263"/>
      <w:bookmarkStart w:id="1" w:name="_Toc11674596"/>
      <w:bookmarkStart w:id="2" w:name="_Toc11674795"/>
      <w:bookmarkStart w:id="3" w:name="_Toc11675052"/>
      <w:bookmarkStart w:id="4" w:name="_Toc11827101"/>
      <w:r w:rsidRPr="00545377">
        <w:rPr>
          <w:color w:val="7030A0"/>
          <w:lang w:eastAsia="en-GB"/>
        </w:rPr>
        <w:t>38.</w:t>
      </w:r>
      <w:r w:rsidRPr="00545377">
        <w:rPr>
          <w:b/>
          <w:bCs/>
          <w:color w:val="7030A0"/>
          <w:lang w:eastAsia="en-GB"/>
        </w:rPr>
        <w:t xml:space="preserve"> </w:t>
      </w:r>
      <w:r w:rsidRPr="00545377">
        <w:rPr>
          <w:b/>
          <w:bCs/>
          <w:color w:val="7030A0"/>
          <w:cs/>
          <w:lang w:eastAsia="en-GB"/>
        </w:rPr>
        <w:t>ระเบียงพระสถูปของพระบ๊อบ</w:t>
      </w:r>
      <w:r w:rsidRPr="00545377">
        <w:t xml:space="preserve"> </w:t>
      </w:r>
      <w:r w:rsidRPr="00545377">
        <w:rPr>
          <w:rFonts w:asciiTheme="minorHAnsi" w:eastAsia="SimSun" w:hAnsiTheme="minorHAnsi" w:cstheme="minorHAnsi"/>
          <w:color w:val="0070C0"/>
          <w:sz w:val="20"/>
          <w:szCs w:val="20"/>
        </w:rPr>
        <w:t>[Terraces of the Shrine of the Báb]</w:t>
      </w:r>
      <w:bookmarkEnd w:id="0"/>
      <w:bookmarkEnd w:id="1"/>
      <w:bookmarkEnd w:id="2"/>
      <w:bookmarkEnd w:id="3"/>
      <w:bookmarkEnd w:id="4"/>
    </w:p>
    <w:p w14:paraId="104C309B" w14:textId="77777777" w:rsidR="00AC7773" w:rsidRPr="00545377" w:rsidRDefault="00AC7773" w:rsidP="00AC7773">
      <w:pPr>
        <w:rPr>
          <w:lang w:val="en-GB"/>
        </w:rPr>
      </w:pPr>
    </w:p>
    <w:p w14:paraId="458CD311" w14:textId="77777777" w:rsidR="00AC7773" w:rsidRPr="00545377" w:rsidRDefault="00AC7773" w:rsidP="00AC7773">
      <w:pPr>
        <w:rPr>
          <w:color w:val="000000"/>
          <w:shd w:val="clear" w:color="auto" w:fill="FFFFFF"/>
          <w:lang w:val="en-GB"/>
        </w:rPr>
      </w:pPr>
      <w:r w:rsidRPr="00545377">
        <w:rPr>
          <w:lang w:val="en-GB"/>
        </w:rPr>
        <w:t>“</w:t>
      </w:r>
      <w:r w:rsidRPr="00545377">
        <w:rPr>
          <w:cs/>
          <w:lang w:val="en-GB"/>
        </w:rPr>
        <w:t>ในพระคัมภีร์ของพระผู้เป็นเจ้า คา</w:t>
      </w:r>
      <w:proofErr w:type="spellStart"/>
      <w:r w:rsidRPr="00545377">
        <w:rPr>
          <w:cs/>
          <w:lang w:val="en-GB"/>
        </w:rPr>
        <w:t>ร์เ</w:t>
      </w:r>
      <w:proofErr w:type="spellEnd"/>
      <w:r w:rsidRPr="00545377">
        <w:rPr>
          <w:cs/>
          <w:lang w:val="en-GB"/>
        </w:rPr>
        <w:t>มลได้ชื่อว่าเป็นเนินเขาของพระผู้เป็นเจ้า เป็นสวนองุ่นของพระองค์ ด้วยพระกรุณาธิคุณของพระผู้เป็นนายแห่งการเปิดเผยพระธรรม ณ เนินเขานี้เองที่เสากระโจมถูกตั้งขึ้น ความสุขจงมีแด่ผู้ที่ไปถึง ณ ที่นั้น ความสวัสดีจงมีแด่ผู้ที่หันหน้าไปสู่เนินเขาลูกนั้น</w:t>
      </w:r>
      <w:r w:rsidRPr="00545377">
        <w:rPr>
          <w:lang w:val="en-GB"/>
        </w:rPr>
        <w:t xml:space="preserve">” </w:t>
      </w:r>
      <w:r w:rsidRPr="00545377">
        <w:rPr>
          <w:rStyle w:val="FootnoteReference"/>
          <w:lang w:val="en-GB"/>
        </w:rPr>
        <w:footnoteReference w:id="1"/>
      </w:r>
      <w:r w:rsidRPr="00545377">
        <w:rPr>
          <w:lang w:val="en-GB"/>
        </w:rPr>
        <w:t xml:space="preserve"> </w:t>
      </w:r>
      <w:r w:rsidRPr="00545377">
        <w:rPr>
          <w:i/>
          <w:iCs/>
          <w:lang w:val="en-GB"/>
        </w:rPr>
        <w:t>(</w:t>
      </w:r>
      <w:r w:rsidRPr="00545377">
        <w:rPr>
          <w:i/>
          <w:iCs/>
          <w:cs/>
          <w:lang w:val="en-GB"/>
        </w:rPr>
        <w:t>พระบาฮาอุลลา</w:t>
      </w:r>
      <w:proofErr w:type="spellStart"/>
      <w:r w:rsidRPr="00545377">
        <w:rPr>
          <w:i/>
          <w:iCs/>
          <w:cs/>
          <w:lang w:val="en-GB"/>
        </w:rPr>
        <w:t>ห์</w:t>
      </w:r>
      <w:proofErr w:type="spellEnd"/>
      <w:r w:rsidRPr="00545377">
        <w:rPr>
          <w:i/>
          <w:iCs/>
          <w:lang w:val="en-GB"/>
        </w:rPr>
        <w:t>)</w:t>
      </w:r>
    </w:p>
    <w:p w14:paraId="468A139C" w14:textId="77777777" w:rsidR="00AC7773" w:rsidRPr="00545377" w:rsidRDefault="00AC7773" w:rsidP="00AC7773">
      <w:pPr>
        <w:rPr>
          <w:shd w:val="clear" w:color="auto" w:fill="FFFFFF"/>
          <w:lang w:val="en-GB"/>
        </w:rPr>
      </w:pPr>
    </w:p>
    <w:p w14:paraId="3A1F18BF" w14:textId="77777777" w:rsidR="00AC7773" w:rsidRPr="00545377" w:rsidRDefault="00AC7773" w:rsidP="00AC7773">
      <w:pPr>
        <w:rPr>
          <w:lang w:val="en-GB"/>
        </w:rPr>
      </w:pPr>
      <w:r w:rsidRPr="00545377">
        <w:rPr>
          <w:shd w:val="clear" w:color="auto" w:fill="FFFFFF"/>
          <w:lang w:val="en-GB"/>
        </w:rPr>
        <w:t>“</w:t>
      </w:r>
      <w:r w:rsidRPr="00545377">
        <w:rPr>
          <w:cs/>
          <w:lang w:val="en-GB"/>
        </w:rPr>
        <w:t>หนทาง</w:t>
      </w:r>
      <w:r w:rsidRPr="00545377">
        <w:rPr>
          <w:shd w:val="clear" w:color="auto" w:fill="FFFFFF"/>
          <w:cs/>
          <w:lang w:val="en-GB"/>
        </w:rPr>
        <w:t>อันสวยสดและสง่างามซึ่งลาดลงมาจากพระสถูปของพระบ๊อบไปตามถนนหลักอันอุดมพรจนถึงเมือง</w:t>
      </w:r>
      <w:proofErr w:type="spellStart"/>
      <w:r w:rsidRPr="00545377">
        <w:rPr>
          <w:shd w:val="clear" w:color="auto" w:fill="FFFFFF"/>
          <w:cs/>
          <w:lang w:val="en-GB"/>
        </w:rPr>
        <w:t>ไฮฟา</w:t>
      </w:r>
      <w:proofErr w:type="spellEnd"/>
      <w:r w:rsidRPr="00545377">
        <w:rPr>
          <w:shd w:val="clear" w:color="auto" w:fill="FFFFFF"/>
          <w:cs/>
          <w:lang w:val="en-GB"/>
        </w:rPr>
        <w:t>นั้นประดับด้วยต้นไม้และทางเดินอันเขียวชอุ่ม ทอแสงเป็นประกายระยิบระยับ เป็นที่ยกย่องชมเชยของคนในภูมิภาค เป็นที่มาของความปีติยินดีและความภาคภูมิใจแก่ทางราชการในประเทศนั้น จากนี้ต่อไปหนทางนั้นจะถูกเปลี่ยนเป็นทางหลวงของบรรดากษัตริย์และผู้นำประเทศต่างๆ เป็นไปตามคำพยากรณ์ของพระผู้เป็นศูนย์กลางแห่งพระปฏิญญา</w:t>
      </w:r>
      <w:r w:rsidRPr="00545377">
        <w:rPr>
          <w:shd w:val="clear" w:color="auto" w:fill="FFFFFF"/>
          <w:lang w:val="en-GB"/>
        </w:rPr>
        <w:t xml:space="preserve">” </w:t>
      </w:r>
      <w:r w:rsidRPr="00545377">
        <w:rPr>
          <w:rStyle w:val="FootnoteReference"/>
          <w:shd w:val="clear" w:color="auto" w:fill="FFFFFF"/>
          <w:lang w:val="en-GB"/>
        </w:rPr>
        <w:footnoteReference w:id="2"/>
      </w:r>
      <w:r w:rsidRPr="00545377">
        <w:rPr>
          <w:shd w:val="clear" w:color="auto" w:fill="FFFFFF"/>
          <w:lang w:val="en-GB"/>
        </w:rPr>
        <w:t xml:space="preserve"> </w:t>
      </w:r>
      <w:r w:rsidRPr="00545377">
        <w:rPr>
          <w:i/>
          <w:iCs/>
          <w:lang w:val="en-GB"/>
        </w:rPr>
        <w:t>(</w:t>
      </w:r>
      <w:r w:rsidRPr="00545377">
        <w:rPr>
          <w:i/>
          <w:iCs/>
          <w:cs/>
          <w:lang w:val="en-GB"/>
        </w:rPr>
        <w:t>ท่านโช</w:t>
      </w:r>
      <w:proofErr w:type="spellStart"/>
      <w:r w:rsidRPr="00545377">
        <w:rPr>
          <w:i/>
          <w:iCs/>
          <w:cs/>
          <w:lang w:val="en-GB"/>
        </w:rPr>
        <w:t>กิ</w:t>
      </w:r>
      <w:proofErr w:type="spellEnd"/>
      <w:r w:rsidRPr="00545377">
        <w:rPr>
          <w:i/>
          <w:iCs/>
          <w:cs/>
          <w:lang w:val="en-GB"/>
        </w:rPr>
        <w:t xml:space="preserve"> เอฟ</w:t>
      </w:r>
      <w:proofErr w:type="spellStart"/>
      <w:r w:rsidRPr="00545377">
        <w:rPr>
          <w:i/>
          <w:iCs/>
          <w:cs/>
          <w:lang w:val="en-GB"/>
        </w:rPr>
        <w:t>เฟนดิ</w:t>
      </w:r>
      <w:proofErr w:type="spellEnd"/>
      <w:r w:rsidRPr="00545377">
        <w:rPr>
          <w:i/>
          <w:iCs/>
          <w:lang w:val="en-GB"/>
        </w:rPr>
        <w:t>)</w:t>
      </w:r>
    </w:p>
    <w:p w14:paraId="56051F64" w14:textId="77777777" w:rsidR="00AC7773" w:rsidRPr="00545377" w:rsidRDefault="00AC7773" w:rsidP="00AC7773">
      <w:pPr>
        <w:rPr>
          <w:shd w:val="clear" w:color="auto" w:fill="FFFFFF"/>
          <w:lang w:val="en-GB"/>
        </w:rPr>
      </w:pPr>
    </w:p>
    <w:p w14:paraId="1D922E86" w14:textId="77777777" w:rsidR="00AC7773" w:rsidRPr="00545377" w:rsidRDefault="00AC7773" w:rsidP="00AC7773">
      <w:pPr>
        <w:rPr>
          <w:color w:val="000000"/>
          <w:shd w:val="clear" w:color="auto" w:fill="FFFFFF"/>
          <w:lang w:val="en-GB"/>
        </w:rPr>
      </w:pPr>
      <w:r w:rsidRPr="00545377">
        <w:rPr>
          <w:lang w:val="en-GB"/>
        </w:rPr>
        <w:lastRenderedPageBreak/>
        <w:t xml:space="preserve"> “</w:t>
      </w:r>
      <w:r w:rsidRPr="00545377">
        <w:rPr>
          <w:cs/>
          <w:lang w:val="en-GB"/>
        </w:rPr>
        <w:t>ความงามและความสง่าของอุทยานบนระเบียง คือสัญลักษณ์แห่งการปฏิรูปที่ถูกกำหนดให้เกิดขึ้นทั้งภายในหัวใจของมนุษย์บนโลกและกับสิ่งแวดล้อมภายนอกของโลก</w:t>
      </w:r>
      <w:r w:rsidRPr="00545377">
        <w:rPr>
          <w:lang w:val="en-GB"/>
        </w:rPr>
        <w:t xml:space="preserve">” </w:t>
      </w:r>
      <w:r w:rsidRPr="00545377">
        <w:rPr>
          <w:rStyle w:val="FootnoteReference"/>
          <w:lang w:val="en-GB"/>
        </w:rPr>
        <w:footnoteReference w:id="3"/>
      </w:r>
      <w:r w:rsidRPr="00545377">
        <w:rPr>
          <w:lang w:val="en-GB"/>
        </w:rPr>
        <w:t xml:space="preserve"> </w:t>
      </w:r>
      <w:r w:rsidRPr="00545377">
        <w:rPr>
          <w:i/>
          <w:iCs/>
          <w:lang w:val="en-GB"/>
        </w:rPr>
        <w:t>(</w:t>
      </w:r>
      <w:r w:rsidRPr="00545377">
        <w:rPr>
          <w:i/>
          <w:iCs/>
          <w:cs/>
          <w:lang w:val="en-GB"/>
        </w:rPr>
        <w:t>สภายุติธรรมแห่งสากล</w:t>
      </w:r>
      <w:r w:rsidRPr="00545377">
        <w:rPr>
          <w:i/>
          <w:iCs/>
          <w:lang w:val="en-GB"/>
        </w:rPr>
        <w:t>)</w:t>
      </w:r>
    </w:p>
    <w:p w14:paraId="0C0F9370" w14:textId="77777777" w:rsidR="00AC7773" w:rsidRPr="00545377" w:rsidRDefault="00AC7773" w:rsidP="00AC7773">
      <w:pPr>
        <w:rPr>
          <w:shd w:val="clear" w:color="auto" w:fill="FFFFFF"/>
          <w:lang w:val="en-GB"/>
        </w:rPr>
      </w:pPr>
    </w:p>
    <w:p w14:paraId="4C97F179" w14:textId="77777777" w:rsidR="00AC7773" w:rsidRPr="00545377" w:rsidRDefault="00AC7773" w:rsidP="00AC7773">
      <w:pPr>
        <w:rPr>
          <w:shd w:val="clear" w:color="auto" w:fill="FFFFFF"/>
          <w:lang w:val="en-GB"/>
        </w:rPr>
      </w:pPr>
      <w:r w:rsidRPr="00545377">
        <w:rPr>
          <w:shd w:val="clear" w:color="auto" w:fill="FFFFFF"/>
          <w:lang w:val="en-GB"/>
        </w:rPr>
        <w:t>“</w:t>
      </w:r>
      <w:r w:rsidRPr="00545377">
        <w:rPr>
          <w:shd w:val="clear" w:color="auto" w:fill="FFFFFF"/>
          <w:cs/>
          <w:lang w:val="en-GB"/>
        </w:rPr>
        <w:t>อุทยานที่ล้อมรอบ</w:t>
      </w:r>
      <w:r w:rsidRPr="00545377">
        <w:rPr>
          <w:cs/>
          <w:lang w:val="en-GB"/>
        </w:rPr>
        <w:t>สิ่ง</w:t>
      </w:r>
      <w:r w:rsidRPr="00545377">
        <w:rPr>
          <w:shd w:val="clear" w:color="auto" w:fill="FFFFFF"/>
          <w:cs/>
          <w:lang w:val="en-GB"/>
        </w:rPr>
        <w:t>ปลูกสร้างด้วยไม้หลายหลากสีและพันธุ์เป็นเครื่องเตือนใจว่ามนุษย์ชาติสามารถอยู่ร่วมกันได้อย่างสามัคคีในท่ามกลางความแตกต่าง แสงที่ฉายมาจากอาคารพระสถูปเป็นเสมือนกระโจมไฟแห่งความหวังสำหรับมหาชนจำนวนนับไม่ถ้วนที่โหยหาชีวิตที่ตอบสนองทั้งทางวิญญาณและทางร่างกาย</w:t>
      </w:r>
      <w:r w:rsidRPr="00545377">
        <w:rPr>
          <w:shd w:val="clear" w:color="auto" w:fill="FFFFFF"/>
          <w:lang w:val="en-GB"/>
        </w:rPr>
        <w:t xml:space="preserve">” </w:t>
      </w:r>
      <w:r w:rsidRPr="00545377">
        <w:rPr>
          <w:rStyle w:val="FootnoteReference"/>
          <w:shd w:val="clear" w:color="auto" w:fill="FFFFFF"/>
          <w:lang w:val="en-GB"/>
        </w:rPr>
        <w:footnoteReference w:id="4"/>
      </w:r>
      <w:r w:rsidRPr="00545377">
        <w:rPr>
          <w:shd w:val="clear" w:color="auto" w:fill="FFFFFF"/>
          <w:lang w:val="en-GB"/>
        </w:rPr>
        <w:t xml:space="preserve"> </w:t>
      </w:r>
      <w:r w:rsidRPr="00545377">
        <w:rPr>
          <w:i/>
          <w:iCs/>
          <w:lang w:val="en-GB"/>
        </w:rPr>
        <w:t>(</w:t>
      </w:r>
      <w:r w:rsidRPr="00545377">
        <w:rPr>
          <w:i/>
          <w:iCs/>
          <w:cs/>
          <w:lang w:val="en-GB"/>
        </w:rPr>
        <w:t>สภายุติธรรมแห่งสากล</w:t>
      </w:r>
      <w:r w:rsidRPr="00545377">
        <w:rPr>
          <w:i/>
          <w:iCs/>
          <w:lang w:val="en-GB"/>
        </w:rPr>
        <w:t>)</w:t>
      </w:r>
    </w:p>
    <w:p w14:paraId="7C179B3A" w14:textId="77777777" w:rsidR="00AC7773" w:rsidRPr="00545377" w:rsidRDefault="00AC7773" w:rsidP="00AC7773">
      <w:pPr>
        <w:rPr>
          <w:sz w:val="16"/>
          <w:szCs w:val="16"/>
          <w:shd w:val="clear" w:color="auto" w:fill="FFFFFF"/>
          <w:lang w:val="en-GB"/>
        </w:rPr>
      </w:pPr>
    </w:p>
    <w:p w14:paraId="30AAEBF8" w14:textId="77777777" w:rsidR="00AC7773" w:rsidRPr="00545377" w:rsidRDefault="00AC7773" w:rsidP="00AC7773">
      <w:pPr>
        <w:rPr>
          <w:shd w:val="clear" w:color="auto" w:fill="FFFFFF"/>
          <w:lang w:val="en-GB"/>
        </w:rPr>
      </w:pPr>
      <w:r w:rsidRPr="00545377">
        <w:rPr>
          <w:shd w:val="clear" w:color="auto" w:fill="FFFFFF"/>
          <w:cs/>
          <w:lang w:val="en-GB"/>
        </w:rPr>
        <w:t>มีงานเปิด</w:t>
      </w:r>
      <w:r w:rsidRPr="00545377">
        <w:rPr>
          <w:cs/>
          <w:lang w:val="en-GB"/>
        </w:rPr>
        <w:t>ระเบียง</w:t>
      </w:r>
      <w:r w:rsidRPr="00545377">
        <w:rPr>
          <w:shd w:val="clear" w:color="auto" w:fill="FFFFFF"/>
          <w:cs/>
          <w:lang w:val="en-GB"/>
        </w:rPr>
        <w:t>อุทยานอย่างเป็นทางการบนเนินเขาคา</w:t>
      </w:r>
      <w:proofErr w:type="spellStart"/>
      <w:r w:rsidRPr="00545377">
        <w:rPr>
          <w:shd w:val="clear" w:color="auto" w:fill="FFFFFF"/>
          <w:cs/>
          <w:lang w:val="en-GB"/>
        </w:rPr>
        <w:t>ร์เ</w:t>
      </w:r>
      <w:proofErr w:type="spellEnd"/>
      <w:r w:rsidRPr="00545377">
        <w:rPr>
          <w:shd w:val="clear" w:color="auto" w:fill="FFFFFF"/>
          <w:cs/>
          <w:lang w:val="en-GB"/>
        </w:rPr>
        <w:t xml:space="preserve">มลเมื่อเดือนพฤษภาคม พ.ศ. </w:t>
      </w:r>
      <w:r w:rsidRPr="00545377">
        <w:rPr>
          <w:shd w:val="clear" w:color="auto" w:fill="FFFFFF"/>
          <w:lang w:val="en-GB"/>
        </w:rPr>
        <w:t>2544 (</w:t>
      </w:r>
      <w:r w:rsidRPr="00545377">
        <w:rPr>
          <w:shd w:val="clear" w:color="auto" w:fill="FFFFFF"/>
          <w:cs/>
          <w:lang w:val="en-GB"/>
        </w:rPr>
        <w:t xml:space="preserve">ค.ศ. </w:t>
      </w:r>
      <w:r w:rsidRPr="00545377">
        <w:rPr>
          <w:shd w:val="clear" w:color="auto" w:fill="FFFFFF"/>
          <w:lang w:val="en-GB"/>
        </w:rPr>
        <w:t>2001)</w:t>
      </w:r>
    </w:p>
    <w:p w14:paraId="282B5227" w14:textId="77777777" w:rsidR="00AC7773" w:rsidRPr="00545377" w:rsidRDefault="00AC7773" w:rsidP="00AC7773">
      <w:pPr>
        <w:rPr>
          <w:sz w:val="16"/>
          <w:szCs w:val="16"/>
          <w:shd w:val="clear" w:color="auto" w:fill="FFFFFF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731"/>
      </w:tblGrid>
      <w:tr w:rsidR="00AC7773" w:rsidRPr="00545377" w14:paraId="6087B4D9" w14:textId="77777777" w:rsidTr="004F2786">
        <w:tc>
          <w:tcPr>
            <w:tcW w:w="4902" w:type="dxa"/>
            <w:vAlign w:val="bottom"/>
          </w:tcPr>
          <w:p w14:paraId="20FB5978" w14:textId="77777777" w:rsidR="00AC7773" w:rsidRPr="00545377" w:rsidRDefault="00AC7773" w:rsidP="004F2786">
            <w:pPr>
              <w:rPr>
                <w:sz w:val="28"/>
                <w:szCs w:val="28"/>
                <w:shd w:val="clear" w:color="auto" w:fill="FFFFFF"/>
              </w:rPr>
            </w:pPr>
            <w:r w:rsidRPr="00545377">
              <w:rPr>
                <w:noProof/>
                <w:sz w:val="28"/>
                <w:szCs w:val="28"/>
              </w:rPr>
              <w:drawing>
                <wp:inline distT="0" distB="0" distL="0" distR="0" wp14:anchorId="38128B59" wp14:editId="7D675ACA">
                  <wp:extent cx="3111824" cy="4909662"/>
                  <wp:effectExtent l="0" t="0" r="0" b="5715"/>
                  <wp:docPr id="267" name="Picture 267" descr="พิธีเปิดระเบียงพระสถูปของพระบ๊อบ เมื่อเดือน พฤษภาคม พ.ศ. 2544 (ค.ศ. 20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7" descr="พิธีเปิดระเบียงพระสถูปของพระบ๊อบ เมื่อเดือน พฤษภาคม พ.ศ. 2544 (ค.ศ. 20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61" cy="492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  <w:vAlign w:val="bottom"/>
          </w:tcPr>
          <w:p w14:paraId="65A40604" w14:textId="77777777" w:rsidR="00AC7773" w:rsidRPr="00545377" w:rsidRDefault="00AC7773" w:rsidP="004F2786">
            <w:pPr>
              <w:rPr>
                <w:sz w:val="28"/>
                <w:szCs w:val="28"/>
                <w:shd w:val="clear" w:color="auto" w:fill="FFFFFF"/>
              </w:rPr>
            </w:pPr>
            <w:r w:rsidRPr="00545377">
              <w:rPr>
                <w:noProof/>
                <w:sz w:val="28"/>
                <w:szCs w:val="28"/>
              </w:rPr>
              <w:drawing>
                <wp:inline distT="0" distB="0" distL="0" distR="0" wp14:anchorId="416C6D99" wp14:editId="22564CBF">
                  <wp:extent cx="2994665" cy="4912224"/>
                  <wp:effectExtent l="0" t="0" r="0" b="3175"/>
                  <wp:docPr id="269" name="Picture 269" descr="พิธีเปิดระเบียงพระสถูปของพระบ๊อบ เมื่อเดือน พฤษภาคม พ.ศ. 2544 (ค.ศ. 20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พิธีเปิดระเบียงพระสถูปของพระบ๊อบ เมื่อเดือน พฤษภาคม พ.ศ. 2544 (ค.ศ. 20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27" cy="493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3" w:rsidRPr="00545377" w14:paraId="7E258538" w14:textId="77777777" w:rsidTr="004F2786">
        <w:tc>
          <w:tcPr>
            <w:tcW w:w="9629" w:type="dxa"/>
            <w:gridSpan w:val="2"/>
            <w:vAlign w:val="bottom"/>
          </w:tcPr>
          <w:p w14:paraId="5131CA2A" w14:textId="77777777" w:rsidR="00AC7773" w:rsidRPr="00545377" w:rsidRDefault="00AC7773" w:rsidP="004F2786">
            <w:pPr>
              <w:jc w:val="center"/>
              <w:rPr>
                <w:color w:val="7030A0"/>
                <w:sz w:val="28"/>
                <w:szCs w:val="28"/>
              </w:rPr>
            </w:pPr>
            <w:r w:rsidRPr="00545377">
              <w:rPr>
                <w:color w:val="7030A0"/>
                <w:sz w:val="28"/>
                <w:szCs w:val="28"/>
                <w:cs/>
              </w:rPr>
              <w:t xml:space="preserve">พิธีเปิดระเบียงพระสถูปของพระบ๊อบ เมื่อเดือน พฤษภาคม พ.ศ. </w:t>
            </w:r>
            <w:r w:rsidRPr="00545377">
              <w:rPr>
                <w:color w:val="7030A0"/>
                <w:sz w:val="28"/>
                <w:szCs w:val="28"/>
              </w:rPr>
              <w:t>2544 (</w:t>
            </w:r>
            <w:r w:rsidRPr="00545377">
              <w:rPr>
                <w:color w:val="7030A0"/>
                <w:sz w:val="28"/>
                <w:szCs w:val="28"/>
                <w:cs/>
              </w:rPr>
              <w:t xml:space="preserve">ค.ศ. </w:t>
            </w:r>
            <w:r w:rsidRPr="00545377">
              <w:rPr>
                <w:color w:val="7030A0"/>
                <w:sz w:val="28"/>
                <w:szCs w:val="28"/>
              </w:rPr>
              <w:t>2001)</w:t>
            </w:r>
          </w:p>
        </w:tc>
      </w:tr>
    </w:tbl>
    <w:p w14:paraId="46DFD118" w14:textId="77777777" w:rsidR="00DF1D73" w:rsidRDefault="00DF1D73" w:rsidP="00AC7773"/>
    <w:sectPr w:rsidR="00DF1D73" w:rsidSect="00AC7773">
      <w:footerReference w:type="default" r:id="rId11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A1C2B" w14:textId="77777777" w:rsidR="00273DB1" w:rsidRDefault="00273DB1" w:rsidP="00AC7773">
      <w:r>
        <w:separator/>
      </w:r>
    </w:p>
  </w:endnote>
  <w:endnote w:type="continuationSeparator" w:id="0">
    <w:p w14:paraId="04A22232" w14:textId="77777777" w:rsidR="00273DB1" w:rsidRDefault="00273DB1" w:rsidP="00AC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030A0"/>
        <w:sz w:val="24"/>
        <w:szCs w:val="24"/>
      </w:rPr>
      <w:id w:val="1280530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0CCC8A" w14:textId="267D0B5E" w:rsidR="00AC7773" w:rsidRPr="00AC7773" w:rsidRDefault="00AC7773">
        <w:pPr>
          <w:pStyle w:val="Footer"/>
          <w:jc w:val="center"/>
          <w:rPr>
            <w:color w:val="7030A0"/>
            <w:sz w:val="24"/>
            <w:szCs w:val="24"/>
          </w:rPr>
        </w:pPr>
        <w:r w:rsidRPr="00AC7773">
          <w:rPr>
            <w:color w:val="7030A0"/>
            <w:sz w:val="24"/>
            <w:szCs w:val="24"/>
          </w:rPr>
          <w:fldChar w:fldCharType="begin"/>
        </w:r>
        <w:r w:rsidRPr="00AC7773">
          <w:rPr>
            <w:color w:val="7030A0"/>
            <w:sz w:val="24"/>
            <w:szCs w:val="24"/>
          </w:rPr>
          <w:instrText xml:space="preserve"> PAGE   \* MERGEFORMAT </w:instrText>
        </w:r>
        <w:r w:rsidRPr="00AC7773">
          <w:rPr>
            <w:color w:val="7030A0"/>
            <w:sz w:val="24"/>
            <w:szCs w:val="24"/>
          </w:rPr>
          <w:fldChar w:fldCharType="separate"/>
        </w:r>
        <w:r w:rsidRPr="00AC7773">
          <w:rPr>
            <w:noProof/>
            <w:color w:val="7030A0"/>
            <w:sz w:val="24"/>
            <w:szCs w:val="24"/>
          </w:rPr>
          <w:t>2</w:t>
        </w:r>
        <w:r w:rsidRPr="00AC7773">
          <w:rPr>
            <w:noProof/>
            <w:color w:val="7030A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9C22C" w14:textId="77777777" w:rsidR="00273DB1" w:rsidRDefault="00273DB1" w:rsidP="00AC7773">
      <w:r>
        <w:separator/>
      </w:r>
    </w:p>
  </w:footnote>
  <w:footnote w:type="continuationSeparator" w:id="0">
    <w:p w14:paraId="1A4FB8A4" w14:textId="77777777" w:rsidR="00273DB1" w:rsidRDefault="00273DB1" w:rsidP="00AC7773">
      <w:r>
        <w:continuationSeparator/>
      </w:r>
    </w:p>
  </w:footnote>
  <w:footnote w:id="1">
    <w:p w14:paraId="0499FCE7" w14:textId="77777777" w:rsidR="00AC7773" w:rsidRPr="00AC7773" w:rsidRDefault="00AC7773" w:rsidP="00AC7773">
      <w:pPr>
        <w:pStyle w:val="FootnoteText"/>
        <w:rPr>
          <w:sz w:val="24"/>
          <w:szCs w:val="24"/>
        </w:rPr>
      </w:pPr>
      <w:r w:rsidRPr="00AC7773">
        <w:rPr>
          <w:rStyle w:val="FootnoteReference"/>
          <w:sz w:val="24"/>
          <w:szCs w:val="24"/>
        </w:rPr>
        <w:footnoteRef/>
      </w:r>
      <w:r w:rsidRPr="00AC7773">
        <w:rPr>
          <w:sz w:val="24"/>
          <w:szCs w:val="24"/>
        </w:rPr>
        <w:t xml:space="preserve"> Epistle to the Son of the Wolf, p. 145.</w:t>
      </w:r>
    </w:p>
  </w:footnote>
  <w:footnote w:id="2">
    <w:p w14:paraId="2287D05C" w14:textId="77777777" w:rsidR="00AC7773" w:rsidRPr="00AC7773" w:rsidRDefault="00AC7773" w:rsidP="00AC7773">
      <w:pPr>
        <w:pStyle w:val="FootnoteText"/>
        <w:rPr>
          <w:sz w:val="24"/>
          <w:szCs w:val="24"/>
        </w:rPr>
      </w:pPr>
      <w:r w:rsidRPr="00AC7773">
        <w:rPr>
          <w:rStyle w:val="FootnoteReference"/>
          <w:sz w:val="24"/>
          <w:szCs w:val="24"/>
        </w:rPr>
        <w:footnoteRef/>
      </w:r>
      <w:r w:rsidRPr="00AC7773">
        <w:rPr>
          <w:sz w:val="24"/>
          <w:szCs w:val="24"/>
        </w:rPr>
        <w:t xml:space="preserve"> Shoghi Effendi to the Bahá’ís of the East, dated Naw-Rúz 108.</w:t>
      </w:r>
    </w:p>
  </w:footnote>
  <w:footnote w:id="3">
    <w:p w14:paraId="4F5113DE" w14:textId="77777777" w:rsidR="00AC7773" w:rsidRPr="00AC7773" w:rsidRDefault="00AC7773" w:rsidP="00AC7773">
      <w:pPr>
        <w:pStyle w:val="FootnoteText"/>
        <w:rPr>
          <w:sz w:val="24"/>
          <w:szCs w:val="24"/>
        </w:rPr>
      </w:pPr>
      <w:r w:rsidRPr="00AC7773">
        <w:rPr>
          <w:rStyle w:val="FootnoteReference"/>
          <w:sz w:val="24"/>
          <w:szCs w:val="24"/>
        </w:rPr>
        <w:footnoteRef/>
      </w:r>
      <w:r w:rsidRPr="00AC7773">
        <w:rPr>
          <w:sz w:val="24"/>
          <w:szCs w:val="24"/>
        </w:rPr>
        <w:t xml:space="preserve"> Universal House of Justice to all National Spiritual Assemblies, dated 4 January 1994.</w:t>
      </w:r>
    </w:p>
  </w:footnote>
  <w:footnote w:id="4">
    <w:p w14:paraId="7473F932" w14:textId="77777777" w:rsidR="00AC7773" w:rsidRPr="00AC7773" w:rsidRDefault="00AC7773" w:rsidP="00AC7773">
      <w:pPr>
        <w:pStyle w:val="FootnoteText"/>
        <w:rPr>
          <w:sz w:val="24"/>
          <w:szCs w:val="24"/>
        </w:rPr>
      </w:pPr>
      <w:r w:rsidRPr="00AC7773">
        <w:rPr>
          <w:rStyle w:val="FootnoteReference"/>
          <w:sz w:val="24"/>
          <w:szCs w:val="24"/>
        </w:rPr>
        <w:footnoteRef/>
      </w:r>
      <w:r w:rsidRPr="00AC7773">
        <w:rPr>
          <w:sz w:val="24"/>
          <w:szCs w:val="24"/>
        </w:rPr>
        <w:t xml:space="preserve"> Universal House of Justice </w:t>
      </w:r>
      <w:proofErr w:type="gramStart"/>
      <w:r w:rsidRPr="00AC7773">
        <w:rPr>
          <w:sz w:val="24"/>
          <w:szCs w:val="24"/>
        </w:rPr>
        <w:t>on the occasion of</w:t>
      </w:r>
      <w:proofErr w:type="gramEnd"/>
      <w:r w:rsidRPr="00AC7773">
        <w:rPr>
          <w:sz w:val="24"/>
          <w:szCs w:val="24"/>
        </w:rPr>
        <w:t xml:space="preserve"> the official opening of the Terraces of the Shrine of the Báb, dated 22 May 2001.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850C3"/>
    <w:multiLevelType w:val="hybridMultilevel"/>
    <w:tmpl w:val="09E25CCC"/>
    <w:lvl w:ilvl="0" w:tplc="7396D5E6">
      <w:start w:val="1"/>
      <w:numFmt w:val="decimal"/>
      <w:pStyle w:val="Heading1"/>
      <w:lvlText w:val="%1."/>
      <w:lvlJc w:val="left"/>
      <w:pPr>
        <w:ind w:left="720" w:hanging="360"/>
      </w:pPr>
      <w:rPr>
        <w:rFonts w:eastAsiaTheme="majorEastAsia" w:hint="default"/>
        <w:b w:val="0"/>
        <w:bCs/>
        <w:color w:val="00B050"/>
        <w:sz w:val="32"/>
        <w:lang w:bidi="th-TH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73"/>
    <w:rsid w:val="00273DB1"/>
    <w:rsid w:val="00471B2F"/>
    <w:rsid w:val="004852D1"/>
    <w:rsid w:val="00544796"/>
    <w:rsid w:val="005C437B"/>
    <w:rsid w:val="00901F1D"/>
    <w:rsid w:val="00986AC5"/>
    <w:rsid w:val="00AC7773"/>
    <w:rsid w:val="00AF5FEF"/>
    <w:rsid w:val="00C81E1F"/>
    <w:rsid w:val="00CC0057"/>
    <w:rsid w:val="00DF1D73"/>
    <w:rsid w:val="00EA5EDC"/>
    <w:rsid w:val="00F5048E"/>
    <w:rsid w:val="00FA69C4"/>
    <w:rsid w:val="00FC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6B109"/>
  <w15:chartTrackingRefBased/>
  <w15:docId w15:val="{ED6A90B4-7942-4347-B65C-201A170A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Tahoma"/>
        <w:sz w:val="32"/>
        <w:szCs w:val="32"/>
        <w:lang w:val="en-GB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773"/>
    <w:pPr>
      <w:tabs>
        <w:tab w:val="right" w:pos="9638"/>
      </w:tabs>
      <w:jc w:val="thaiDistribute"/>
    </w:pPr>
    <w:rPr>
      <w:rFonts w:ascii="Leelawadee" w:hAnsi="Leelawadee" w:cs="Leelawadee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773"/>
    <w:pPr>
      <w:keepNext/>
      <w:keepLines/>
      <w:numPr>
        <w:numId w:val="1"/>
      </w:numPr>
      <w:suppressAutoHyphens/>
      <w:jc w:val="left"/>
      <w:outlineLvl w:val="0"/>
    </w:pPr>
    <w:rPr>
      <w:rFonts w:eastAsiaTheme="majorEastAsia"/>
      <w:color w:val="00B05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FA69C4"/>
    <w:rPr>
      <w:rFonts w:eastAsia="Tahoma"/>
      <w:sz w:val="2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A69C4"/>
    <w:rPr>
      <w:rFonts w:eastAsia="Tahoma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C7773"/>
    <w:rPr>
      <w:rFonts w:ascii="Leelawadee" w:eastAsiaTheme="majorEastAsia" w:hAnsi="Leelawadee" w:cs="Leelawadee"/>
      <w:color w:val="00B050"/>
    </w:rPr>
  </w:style>
  <w:style w:type="table" w:styleId="TableGrid">
    <w:name w:val="Table Grid"/>
    <w:basedOn w:val="TableNormal"/>
    <w:uiPriority w:val="59"/>
    <w:rsid w:val="00AC7773"/>
    <w:rPr>
      <w:rFonts w:ascii="Leelawadee" w:eastAsiaTheme="minorEastAsia" w:hAnsi="Leelawadee" w:cs="Leelawadee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AC777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C7773"/>
    <w:pPr>
      <w:tabs>
        <w:tab w:val="clear" w:pos="9638"/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C7773"/>
    <w:rPr>
      <w:rFonts w:ascii="Leelawadee" w:hAnsi="Leelawadee" w:cs="Angsana New"/>
      <w:szCs w:val="4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7773"/>
    <w:pPr>
      <w:tabs>
        <w:tab w:val="clear" w:pos="9638"/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C7773"/>
    <w:rPr>
      <w:rFonts w:ascii="Leelawadee" w:hAnsi="Leelawadee" w:cs="Angsana New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ระเบียงพระสถูปของพระบ๊อบ</vt:lpstr>
    </vt:vector>
  </TitlesOfParts>
  <Manager>พระบ๊อบ;สภายุติธรรมสากล;ศาสนาบาไฮ;บาไฮ</Manager>
  <Company>พระบ๊อบ; สภายุติธรรมสากล; ศาสนาบาไฮ; บาไฮ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ระเบียงพระสถูปของพระบ๊อบ</dc:title>
  <dc:subject>พระบ๊อบ; ระเบียงพระสถูปของพระบ๊อบ; แสวงบุญ; แสวงบุญบาไฮ; บาไฮ: ศาสนาบาไฮ;</dc:subject>
  <dc:creator>พระบ๊อบ;สภายุติธรรมสากล</dc:creator>
  <cp:keywords>พระบ๊อบ; ระเบียงพระสถูปของพระบ๊อบ; แสวงบุญ; แสวงบุญบาไฮ; บาไฮ: ศาสนาบาไฮ;</cp:keywords>
  <dc:description/>
  <cp:lastModifiedBy>Vaughan Smith</cp:lastModifiedBy>
  <cp:revision>5</cp:revision>
  <cp:lastPrinted>2021-11-23T10:58:00Z</cp:lastPrinted>
  <dcterms:created xsi:type="dcterms:W3CDTF">2021-11-23T10:41:00Z</dcterms:created>
  <dcterms:modified xsi:type="dcterms:W3CDTF">2021-11-23T11:33:00Z</dcterms:modified>
  <cp:category>พระบ๊อบ;ระเบียงพระสถูปของพระบ๊อบ;แสวงบุญ;แสวงบุญบาไฮ;บาไฮ: ศาสนาบาไฮ</cp:category>
</cp:coreProperties>
</file>