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C53BE" w14:textId="77777777" w:rsidR="002D603A" w:rsidRPr="00E276F8" w:rsidRDefault="002D603A" w:rsidP="00E276F8">
      <w:pPr>
        <w:ind w:left="0"/>
        <w:jc w:val="center"/>
        <w:rPr>
          <w:b/>
          <w:bCs/>
          <w:i/>
          <w:iCs/>
          <w:color w:val="000000" w:themeColor="text1"/>
          <w:sz w:val="40"/>
          <w:szCs w:val="40"/>
        </w:rPr>
      </w:pPr>
      <w:r w:rsidRPr="00E276F8">
        <w:rPr>
          <w:rFonts w:hint="cs"/>
          <w:b/>
          <w:bCs/>
          <w:i/>
          <w:iCs/>
          <w:color w:val="000000" w:themeColor="text1"/>
          <w:sz w:val="40"/>
          <w:szCs w:val="40"/>
          <w:cs/>
        </w:rPr>
        <w:t>การตัดสินใจ</w:t>
      </w:r>
    </w:p>
    <w:p w14:paraId="008B11F3" w14:textId="7728EF53" w:rsidR="002D603A" w:rsidRPr="00E276F8" w:rsidRDefault="002D603A" w:rsidP="00E276F8">
      <w:pPr>
        <w:ind w:left="0"/>
        <w:jc w:val="center"/>
        <w:rPr>
          <w:b/>
          <w:bCs/>
          <w:i/>
          <w:iCs/>
          <w:color w:val="000000" w:themeColor="text1"/>
          <w:sz w:val="40"/>
          <w:szCs w:val="40"/>
        </w:rPr>
      </w:pPr>
      <w:r w:rsidRPr="00E276F8">
        <w:rPr>
          <w:rFonts w:hint="cs"/>
          <w:b/>
          <w:bCs/>
          <w:i/>
          <w:iCs/>
          <w:color w:val="000000" w:themeColor="text1"/>
          <w:sz w:val="40"/>
          <w:szCs w:val="40"/>
          <w:cs/>
        </w:rPr>
        <w:t>การได้รับการชี้แนะจากสี่แนวทาง</w:t>
      </w:r>
    </w:p>
    <w:p w14:paraId="00E8C673" w14:textId="6254BDC9" w:rsidR="002D603A" w:rsidRPr="002D603A" w:rsidRDefault="002D603A" w:rsidP="00E276F8">
      <w:pPr>
        <w:ind w:left="0"/>
        <w:jc w:val="center"/>
        <w:rPr>
          <w:i/>
          <w:iCs/>
          <w:color w:val="000000" w:themeColor="text1"/>
          <w:szCs w:val="24"/>
          <w:lang w:val="en-US"/>
        </w:rPr>
      </w:pPr>
      <w:r w:rsidRPr="002D603A">
        <w:rPr>
          <w:i/>
          <w:iCs/>
          <w:color w:val="000000" w:themeColor="text1"/>
          <w:szCs w:val="24"/>
          <w:lang w:val="en-US"/>
        </w:rPr>
        <w:t>Decision Making: F</w:t>
      </w:r>
      <w:r w:rsidRPr="002D603A">
        <w:rPr>
          <w:i/>
          <w:iCs/>
          <w:color w:val="000000" w:themeColor="text1"/>
          <w:szCs w:val="24"/>
        </w:rPr>
        <w:t xml:space="preserve">our </w:t>
      </w:r>
      <w:r w:rsidRPr="002D603A">
        <w:rPr>
          <w:i/>
          <w:iCs/>
          <w:color w:val="000000" w:themeColor="text1"/>
          <w:szCs w:val="24"/>
          <w:lang w:val="en-US"/>
        </w:rPr>
        <w:t>W</w:t>
      </w:r>
      <w:r w:rsidRPr="002D603A">
        <w:rPr>
          <w:i/>
          <w:iCs/>
          <w:color w:val="000000" w:themeColor="text1"/>
          <w:szCs w:val="24"/>
        </w:rPr>
        <w:t xml:space="preserve">ays of </w:t>
      </w:r>
      <w:r w:rsidRPr="002D603A">
        <w:rPr>
          <w:i/>
          <w:iCs/>
          <w:color w:val="000000" w:themeColor="text1"/>
          <w:szCs w:val="24"/>
          <w:lang w:val="en-US"/>
        </w:rPr>
        <w:t>R</w:t>
      </w:r>
      <w:r w:rsidRPr="002D603A">
        <w:rPr>
          <w:i/>
          <w:iCs/>
          <w:color w:val="000000" w:themeColor="text1"/>
          <w:szCs w:val="24"/>
        </w:rPr>
        <w:t xml:space="preserve">eceiving </w:t>
      </w:r>
      <w:r w:rsidRPr="002D603A">
        <w:rPr>
          <w:i/>
          <w:iCs/>
          <w:color w:val="000000" w:themeColor="text1"/>
          <w:szCs w:val="24"/>
          <w:lang w:val="en-US"/>
        </w:rPr>
        <w:t>G</w:t>
      </w:r>
      <w:r w:rsidRPr="002D603A">
        <w:rPr>
          <w:i/>
          <w:iCs/>
          <w:color w:val="000000" w:themeColor="text1"/>
          <w:szCs w:val="24"/>
        </w:rPr>
        <w:t>uidance</w:t>
      </w:r>
    </w:p>
    <w:p w14:paraId="7C6F5554" w14:textId="77777777" w:rsidR="002D603A" w:rsidRPr="002D603A" w:rsidRDefault="002D603A" w:rsidP="002D603A">
      <w:pPr>
        <w:jc w:val="center"/>
        <w:rPr>
          <w:b/>
          <w:bCs/>
          <w:i/>
          <w:iCs/>
          <w:color w:val="000000" w:themeColor="text1"/>
          <w:sz w:val="36"/>
          <w:szCs w:val="36"/>
        </w:rPr>
      </w:pPr>
    </w:p>
    <w:p w14:paraId="7DDACFB3" w14:textId="7648AE4E" w:rsidR="002D603A" w:rsidRPr="002D603A" w:rsidRDefault="002D603A" w:rsidP="002D603A">
      <w:pPr>
        <w:ind w:left="0"/>
        <w:rPr>
          <w:rFonts w:asciiTheme="minorBidi" w:hAnsiTheme="minorBidi"/>
          <w:color w:val="000000" w:themeColor="text1"/>
          <w:sz w:val="32"/>
          <w:szCs w:val="32"/>
        </w:rPr>
      </w:pPr>
      <w:r w:rsidRPr="002D603A">
        <w:rPr>
          <w:rFonts w:asciiTheme="minorBidi" w:hAnsiTheme="minorBidi"/>
          <w:color w:val="000000" w:themeColor="text1"/>
          <w:sz w:val="32"/>
          <w:szCs w:val="32"/>
          <w:cs/>
        </w:rPr>
        <w:t xml:space="preserve">“ที่จริงแล้ว การที่คุณปฏิบัติตามพระประสงค์ของพระผู้เป็นเจ้าทุกประการในชีวิตของคุณเป็นที่น่าสรรเสริญอย่างยิ่ง จากประสบการณ์ที่ผ่านมาของคุณ ทำให้คุณเห็นว่าการปฏิบัติตามเช่นนั้นนำมาซึ่งการรับรองทางจิตวิญญาณ อย่างไรก็ตาม สภายุติธรรมแห่งสากลได้เน้นย้ำให้บุคคลเห็นว่า วิธีที่จะได้รับคำแนะแนวนั้นมิได้จำกัดอยู่ที่การได้รับแรงดลบันดาลใจอย่างเดียว ที่จริงแล้ว ถ้าเข้าใจแบบนี้ก็นับว่าเป็นความเข้าใจไขว้เขวอย่างยิ่ง </w:t>
      </w:r>
    </w:p>
    <w:p w14:paraId="57FD5DBD" w14:textId="77777777" w:rsidR="002D603A" w:rsidRPr="002D603A" w:rsidRDefault="002D603A" w:rsidP="002D603A">
      <w:pPr>
        <w:ind w:left="0"/>
        <w:rPr>
          <w:rFonts w:asciiTheme="minorBidi" w:hAnsiTheme="minorBidi"/>
          <w:color w:val="000000" w:themeColor="text1"/>
          <w:sz w:val="32"/>
          <w:szCs w:val="32"/>
        </w:rPr>
      </w:pPr>
    </w:p>
    <w:p w14:paraId="30843FE7" w14:textId="1B7C0974" w:rsidR="002D603A" w:rsidRPr="002D603A" w:rsidRDefault="002D603A" w:rsidP="002D603A">
      <w:pPr>
        <w:ind w:left="0"/>
        <w:rPr>
          <w:rFonts w:asciiTheme="minorBidi" w:hAnsiTheme="minorBidi"/>
          <w:color w:val="000000" w:themeColor="text1"/>
          <w:sz w:val="32"/>
          <w:szCs w:val="32"/>
        </w:rPr>
      </w:pPr>
      <w:r w:rsidRPr="002D603A">
        <w:rPr>
          <w:rFonts w:asciiTheme="minorBidi" w:hAnsiTheme="minorBidi"/>
          <w:color w:val="000000" w:themeColor="text1"/>
          <w:sz w:val="32"/>
          <w:szCs w:val="32"/>
          <w:cs/>
        </w:rPr>
        <w:t>“พระอับดุลบาฮาทรงอธิบายว่า พระผู้เป็นเจ้าทรงประทานวิถีมากกว่าหนึ่งทางให้ใช้ในการขอรับการแนะนำเกี่ยวกับการตัดสินใจ</w:t>
      </w:r>
      <w:r w:rsidRPr="002D603A">
        <w:rPr>
          <w:rFonts w:asciiTheme="minorBidi" w:hAnsiTheme="minorBidi"/>
          <w:color w:val="000000" w:themeColor="text1"/>
          <w:sz w:val="32"/>
          <w:szCs w:val="32"/>
        </w:rPr>
        <w:t xml:space="preserve"> </w:t>
      </w:r>
      <w:r w:rsidRPr="002D603A">
        <w:rPr>
          <w:rFonts w:asciiTheme="minorBidi" w:hAnsiTheme="minorBidi"/>
          <w:color w:val="000000" w:themeColor="text1"/>
          <w:sz w:val="32"/>
          <w:szCs w:val="32"/>
          <w:cs/>
        </w:rPr>
        <w:t xml:space="preserve"> วิถีทางเหล่านั้นได้แก่พระธรรมศักดิ์สิทธิ์ที่ชี้แนะแนวทางที่เราควรนำมาใช้ดำเนินชีวิตไว้อย่างชัดแจ้ง หากเสียงในมโนธรรมกระตุ้นให้เรากระทำสิ่งที่ตรงกันข้ามกับคำสอนที่ระบุไว้อย่างชัดเจนแล้ว ขอให้เราแน่ใจได้ว่าการกระทำนั้นอยู่ห่างไกลเกินกว่าที่จะได้รับแรงดลใจที่มาจากพระผู้เป็นเจ้า เพราะเป็นเสียงที่กระตุ้นให้เราแสดงออกซึ่งธรรมชาติฝ่ายต่ำของตัวเราเอง เสียงจากธรรมชาติฝ่ายต่ำนี้ไม่ควรได้รับความใส่ใจ วิถีทางที่พระผู้เป็นเจ้าทรงประทานมาให้เป็นของขวัญแก่เราอีกอย่างหนึ่งก็คือปัญญาและการวินิจฉัยที่สมเหตุผล---ทักษะนี้ทำให้เราแตกต่างจากอาณาจักรของสัตว์ พระผู้เป็นเจ้าทรงพระประสงค์ให้เราใช้ความสามารถนี้ ซึ่งถ้านำมาใช้ก็จะกลายเป็นเครื่องมืออันทรงพลังที่ช่วยแยกแยะให้เห็นความแตกต่างระหว่างแรงดลบันดาลใจอันแท้จริงกับจินตนาการอันไร้สาระ นอกเหนือจากนี้พระองค์ยังทรงประทานพลังอำนาจที่มาจากการสวดมนต์ในช่วงเวลาที่เราพยายามชำระแรงจูงใจของเราให้บริสุทธิ์ ในยามที่เราแสวงหาพระประสงค์ของพระผู้เป็นเจ้า ในเวลาที่เราสวดมนต์วิงวอนขอการนำทางและความช่วยเหลือจากพระองค์ นอกจากนี้แล้วพระองค์ยังทรงประทานกฎแห่งการปรึกษาหารือซึ่งมีคุณลักษณะเด่นเป็นพิเศษในยุคแห่งการเผยพระธรรมอันยิ่งใหญ่นี้ การปรึกษาหารือนี้มิใช่ใช้เฉพาะในการทำงานของระบบการบริหารเท่านั้น แต่ยังใช้แก้ปัญหาส่วนตัวของปัจเจกบุคคลได้ ด้วยการที่บุคคลปรึกษากับธรรมสภา กับครอบครัวหรือกับเพื่อน ๆ ของเขา</w:t>
      </w:r>
    </w:p>
    <w:p w14:paraId="00835560" w14:textId="496EFA1F" w:rsidR="002D603A" w:rsidRPr="002D603A" w:rsidRDefault="002D603A" w:rsidP="002D603A">
      <w:pPr>
        <w:ind w:left="0"/>
        <w:rPr>
          <w:rFonts w:asciiTheme="minorBidi" w:hAnsiTheme="minorBidi"/>
          <w:color w:val="000000" w:themeColor="text1"/>
          <w:sz w:val="32"/>
          <w:szCs w:val="32"/>
        </w:rPr>
      </w:pPr>
    </w:p>
    <w:p w14:paraId="41764124" w14:textId="6A58F9AC" w:rsidR="002D603A" w:rsidRPr="002D603A" w:rsidRDefault="002D603A" w:rsidP="002D603A">
      <w:pPr>
        <w:ind w:left="0"/>
        <w:rPr>
          <w:rFonts w:asciiTheme="minorBidi" w:hAnsiTheme="minorBidi"/>
          <w:color w:val="000000" w:themeColor="text1"/>
          <w:sz w:val="32"/>
          <w:szCs w:val="32"/>
        </w:rPr>
      </w:pPr>
      <w:r w:rsidRPr="002D603A">
        <w:rPr>
          <w:rFonts w:asciiTheme="minorBidi" w:hAnsiTheme="minorBidi"/>
          <w:color w:val="000000" w:themeColor="text1"/>
          <w:sz w:val="32"/>
          <w:szCs w:val="32"/>
          <w:cs/>
        </w:rPr>
        <w:t>“ดังนั้น เกี่ยวกับปัญหาที่ท่านกำลังเผชิญอยู่ในขณะนี้ สภายุติธรรมแห่งสากลจึงเตือนท่านว่าอย่าได้วิตกกังวลมากจนเกินไปเกี่ยวกับกับความต้องการของท่านที่จะได้รับสิ่งที่ท่านเข้าใจว่าคือแรงดลบันดาลใจ และขอให้ใช้มาตรการอื่น ๆ ที่พระผู้เป็นเจ้าทรงประทานให้กับแก้ปัญหาความยุ่งยากต่าง ๆ สภายุติธรรมแห่งสากลแนะนำให้ท่านปรึกษากับธรรมสภาบาไฮหรือกับท่านอนุกร หรือกับบรรดาเพื่อนสนิทที่ท่านวางใจในวิจารณญาณอันน่าเชื่อถือ ขอให้ปรึกษากับพวกเขาและตั้งใจฟังคำแนะนำที่พวกเขาให้แก่ท่าน....”</w:t>
      </w:r>
      <w:r w:rsidR="00E276F8">
        <w:rPr>
          <w:rStyle w:val="FootnoteReference"/>
          <w:rFonts w:asciiTheme="minorBidi" w:hAnsiTheme="minorBidi"/>
          <w:color w:val="000000" w:themeColor="text1"/>
          <w:sz w:val="32"/>
          <w:szCs w:val="32"/>
          <w:cs/>
        </w:rPr>
        <w:footnoteReference w:id="1"/>
      </w:r>
    </w:p>
    <w:p w14:paraId="0983C414" w14:textId="77777777" w:rsidR="002D603A" w:rsidRPr="002D603A" w:rsidRDefault="002D603A" w:rsidP="002D603A">
      <w:pPr>
        <w:ind w:left="0"/>
        <w:rPr>
          <w:rFonts w:asciiTheme="minorBidi" w:hAnsiTheme="minorBidi"/>
          <w:color w:val="000000" w:themeColor="text1"/>
          <w:sz w:val="32"/>
          <w:szCs w:val="32"/>
        </w:rPr>
      </w:pPr>
    </w:p>
    <w:p w14:paraId="5989F027" w14:textId="46DFF43B" w:rsidR="002D603A" w:rsidRPr="002D603A" w:rsidRDefault="002D603A" w:rsidP="002D603A">
      <w:pPr>
        <w:pStyle w:val="ListParagraph"/>
        <w:numPr>
          <w:ilvl w:val="0"/>
          <w:numId w:val="3"/>
        </w:numPr>
        <w:rPr>
          <w:rFonts w:asciiTheme="minorBidi" w:hAnsiTheme="minorBidi"/>
          <w:color w:val="000000" w:themeColor="text1"/>
          <w:sz w:val="32"/>
          <w:szCs w:val="32"/>
        </w:rPr>
      </w:pPr>
      <w:r w:rsidRPr="002D603A">
        <w:rPr>
          <w:rFonts w:asciiTheme="minorBidi" w:hAnsiTheme="minorBidi"/>
          <w:color w:val="000000" w:themeColor="text1"/>
          <w:sz w:val="32"/>
          <w:szCs w:val="32"/>
          <w:cs/>
          <w:lang w:val="en-US"/>
        </w:rPr>
        <w:t>จดหมายฉบับลงวันที่ 29 พฤศจิกายน 1982 ( 2525) เขียนในนาของสภายุติธรรมแห่งสากลถึงศาสนิกชนคนหนึ่ง</w:t>
      </w:r>
    </w:p>
    <w:p w14:paraId="3FABA0CC" w14:textId="78724C1E" w:rsidR="002D603A" w:rsidRDefault="002D603A" w:rsidP="002D603A">
      <w:pPr>
        <w:ind w:left="360"/>
        <w:rPr>
          <w:b/>
          <w:bCs/>
          <w:color w:val="FF0000"/>
          <w:lang w:val="en-US"/>
        </w:rPr>
      </w:pPr>
    </w:p>
    <w:p w14:paraId="53DF1C99" w14:textId="3159039B" w:rsidR="002D603A" w:rsidRDefault="002D603A" w:rsidP="002D603A">
      <w:pPr>
        <w:ind w:left="360"/>
        <w:rPr>
          <w:b/>
          <w:bCs/>
          <w:color w:val="FF0000"/>
          <w:lang w:val="en-US"/>
        </w:rPr>
      </w:pPr>
    </w:p>
    <w:p w14:paraId="3EEC2BF9" w14:textId="055FC10F" w:rsidR="002D603A" w:rsidRDefault="002D603A" w:rsidP="002D603A">
      <w:pPr>
        <w:ind w:left="360"/>
        <w:rPr>
          <w:b/>
          <w:bCs/>
          <w:color w:val="FF0000"/>
          <w:lang w:val="en-US"/>
        </w:rPr>
      </w:pPr>
    </w:p>
    <w:p w14:paraId="457E0882" w14:textId="77777777" w:rsidR="002D603A" w:rsidRDefault="002D603A" w:rsidP="002D603A">
      <w:pPr>
        <w:ind w:left="360"/>
        <w:rPr>
          <w:b/>
          <w:bCs/>
          <w:color w:val="FF0000"/>
          <w:lang w:val="en-US"/>
        </w:rPr>
      </w:pPr>
    </w:p>
    <w:p w14:paraId="1C20276E" w14:textId="77777777" w:rsidR="00E276F8" w:rsidRDefault="00E276F8" w:rsidP="002D603A">
      <w:pPr>
        <w:ind w:left="0"/>
        <w:rPr>
          <w:b/>
          <w:bCs/>
          <w:color w:val="000000" w:themeColor="text1"/>
          <w:lang w:val="en-US"/>
        </w:rPr>
      </w:pPr>
    </w:p>
    <w:p w14:paraId="36A11681" w14:textId="77777777" w:rsidR="00E276F8" w:rsidRDefault="00E276F8" w:rsidP="002D603A">
      <w:pPr>
        <w:ind w:left="0"/>
        <w:rPr>
          <w:b/>
          <w:bCs/>
          <w:color w:val="000000" w:themeColor="text1"/>
          <w:lang w:val="en-US"/>
        </w:rPr>
      </w:pPr>
    </w:p>
    <w:p w14:paraId="1BCEF2CB" w14:textId="1895671A" w:rsidR="002D603A" w:rsidRPr="00E276F8" w:rsidRDefault="002D603A" w:rsidP="002D603A">
      <w:pPr>
        <w:ind w:left="0"/>
        <w:rPr>
          <w:rFonts w:asciiTheme="minorBidi" w:hAnsiTheme="minorBidi"/>
          <w:color w:val="000000" w:themeColor="text1"/>
          <w:sz w:val="30"/>
        </w:rPr>
      </w:pPr>
      <w:r w:rsidRPr="00E276F8">
        <w:rPr>
          <w:b/>
          <w:bCs/>
          <w:color w:val="000000" w:themeColor="text1"/>
          <w:lang w:val="en-US"/>
        </w:rPr>
        <w:t>Discussion Questions:</w:t>
      </w:r>
    </w:p>
    <w:p w14:paraId="6D451B6D" w14:textId="77777777" w:rsidR="002D603A" w:rsidRPr="00E276F8" w:rsidRDefault="002D603A" w:rsidP="002D603A">
      <w:pPr>
        <w:ind w:left="0"/>
        <w:rPr>
          <w:rFonts w:asciiTheme="minorBidi" w:eastAsia="Times New Roman" w:hAnsiTheme="minorBidi"/>
          <w:b/>
          <w:bCs/>
          <w:color w:val="000000" w:themeColor="text1"/>
          <w:sz w:val="30"/>
          <w:lang w:val="en-US"/>
        </w:rPr>
      </w:pPr>
      <w:r w:rsidRPr="00E276F8">
        <w:rPr>
          <w:rFonts w:asciiTheme="minorBidi" w:eastAsia="Times New Roman" w:hAnsiTheme="minorBidi"/>
          <w:b/>
          <w:bCs/>
          <w:color w:val="000000" w:themeColor="text1"/>
          <w:sz w:val="30"/>
          <w:cs/>
          <w:lang w:val="en-US"/>
        </w:rPr>
        <w:t>อภิปรายคำถามต่อไปนี้</w:t>
      </w:r>
    </w:p>
    <w:p w14:paraId="0F3A21F5" w14:textId="77777777" w:rsidR="002D603A" w:rsidRPr="00E276F8" w:rsidRDefault="002D603A" w:rsidP="002D603A">
      <w:pPr>
        <w:rPr>
          <w:color w:val="000000" w:themeColor="text1"/>
          <w:lang w:val="en-US"/>
        </w:rPr>
      </w:pPr>
    </w:p>
    <w:p w14:paraId="44356322" w14:textId="77777777" w:rsidR="002D603A" w:rsidRPr="00E276F8" w:rsidRDefault="002D603A" w:rsidP="00E276F8">
      <w:pPr>
        <w:numPr>
          <w:ilvl w:val="0"/>
          <w:numId w:val="5"/>
        </w:numPr>
        <w:rPr>
          <w:color w:val="000000" w:themeColor="text1"/>
        </w:rPr>
      </w:pPr>
      <w:r w:rsidRPr="00E276F8">
        <w:rPr>
          <w:color w:val="000000" w:themeColor="text1"/>
          <w:lang w:val="en-US"/>
        </w:rPr>
        <w:t>What thoughts do you have on this guidance on making decisions?</w:t>
      </w:r>
    </w:p>
    <w:p w14:paraId="4F28F2DB" w14:textId="4C469FB9" w:rsidR="002D603A" w:rsidRPr="00E276F8" w:rsidRDefault="002D603A" w:rsidP="00E276F8">
      <w:pPr>
        <w:ind w:left="0" w:firstLine="720"/>
        <w:rPr>
          <w:color w:val="000000" w:themeColor="text1"/>
          <w:sz w:val="30"/>
        </w:rPr>
      </w:pPr>
      <w:r w:rsidRPr="00E276F8">
        <w:rPr>
          <w:rFonts w:hint="cs"/>
          <w:color w:val="000000" w:themeColor="text1"/>
          <w:sz w:val="30"/>
          <w:cs/>
          <w:lang w:val="en-US"/>
        </w:rPr>
        <w:t>ท่านมีความคิดอย่างไรเกี่ยวกับคำแนะนำเกี่ยวกับการตัดสินใจ?</w:t>
      </w:r>
    </w:p>
    <w:p w14:paraId="4C6A481C" w14:textId="77777777" w:rsidR="00E276F8" w:rsidRPr="00E276F8" w:rsidRDefault="00E276F8" w:rsidP="00E276F8">
      <w:pPr>
        <w:ind w:left="1440"/>
        <w:rPr>
          <w:color w:val="000000" w:themeColor="text1"/>
          <w:sz w:val="30"/>
        </w:rPr>
      </w:pPr>
    </w:p>
    <w:p w14:paraId="70F99DC9" w14:textId="77777777" w:rsidR="002D603A" w:rsidRPr="00E276F8" w:rsidRDefault="002D603A" w:rsidP="00E276F8">
      <w:pPr>
        <w:numPr>
          <w:ilvl w:val="0"/>
          <w:numId w:val="5"/>
        </w:numPr>
        <w:rPr>
          <w:color w:val="000000" w:themeColor="text1"/>
        </w:rPr>
      </w:pPr>
      <w:r w:rsidRPr="00E276F8">
        <w:rPr>
          <w:color w:val="000000" w:themeColor="text1"/>
          <w:lang w:val="en-US"/>
        </w:rPr>
        <w:t xml:space="preserve">What are some key decision points in a relationship? What decisions are needed to move towards considering marriage? </w:t>
      </w:r>
    </w:p>
    <w:p w14:paraId="33272D3E" w14:textId="245D3416" w:rsidR="002D603A" w:rsidRPr="00E276F8" w:rsidRDefault="002D603A" w:rsidP="00E276F8">
      <w:pPr>
        <w:ind w:left="720"/>
        <w:rPr>
          <w:color w:val="000000" w:themeColor="text1"/>
          <w:sz w:val="30"/>
        </w:rPr>
      </w:pPr>
      <w:r w:rsidRPr="00E276F8">
        <w:rPr>
          <w:rFonts w:hint="cs"/>
          <w:color w:val="000000" w:themeColor="text1"/>
          <w:sz w:val="30"/>
          <w:cs/>
          <w:lang w:val="en-US"/>
        </w:rPr>
        <w:t>อะไรคือหัวข้อสำคัญเกี่ยวกับความสัมพันธ์ ? มีความจำเป็นต้องตัดสินอะไรเพื่อที่จะเดินหน้าพิจารณาเกี่ยวกับการสมรส?</w:t>
      </w:r>
    </w:p>
    <w:p w14:paraId="26A408A2" w14:textId="77777777" w:rsidR="00E276F8" w:rsidRPr="00E276F8" w:rsidRDefault="00E276F8" w:rsidP="00E276F8">
      <w:pPr>
        <w:ind w:left="1440"/>
        <w:rPr>
          <w:color w:val="000000" w:themeColor="text1"/>
          <w:sz w:val="30"/>
        </w:rPr>
      </w:pPr>
    </w:p>
    <w:p w14:paraId="00FF7BDE" w14:textId="77777777" w:rsidR="002D603A" w:rsidRPr="00E276F8" w:rsidRDefault="002D603A" w:rsidP="00E276F8">
      <w:pPr>
        <w:numPr>
          <w:ilvl w:val="0"/>
          <w:numId w:val="5"/>
        </w:numPr>
        <w:rPr>
          <w:color w:val="000000" w:themeColor="text1"/>
        </w:rPr>
      </w:pPr>
      <w:r w:rsidRPr="00E276F8">
        <w:rPr>
          <w:color w:val="000000" w:themeColor="text1"/>
          <w:lang w:val="en-US"/>
        </w:rPr>
        <w:t>What is your experience with the “four ways of receiving guidance” (decision making methods) shared by the Universal House of Justice?</w:t>
      </w:r>
    </w:p>
    <w:p w14:paraId="643FAD0B" w14:textId="637E5BC7" w:rsidR="002D603A" w:rsidRPr="00E276F8" w:rsidRDefault="002D603A" w:rsidP="00E276F8">
      <w:pPr>
        <w:ind w:left="720"/>
        <w:rPr>
          <w:color w:val="000000" w:themeColor="text1"/>
        </w:rPr>
      </w:pPr>
      <w:r w:rsidRPr="00E276F8">
        <w:rPr>
          <w:rFonts w:hint="cs"/>
          <w:color w:val="000000" w:themeColor="text1"/>
          <w:cs/>
          <w:lang w:val="en-US"/>
        </w:rPr>
        <w:t>คุณมีประสบการณ์อะไรบ้างแล้วเกี่ยวกับสิ่งต่าง ๆ ที่กล่าวมาแล้วภายใต้หัวข้อ “</w:t>
      </w:r>
      <w:r w:rsidRPr="00E276F8">
        <w:rPr>
          <w:rFonts w:hint="cs"/>
          <w:color w:val="000000" w:themeColor="text1"/>
          <w:sz w:val="28"/>
          <w:cs/>
        </w:rPr>
        <w:t>การได้รับการชี้แนะสี่แนวทาง” จากสภายุติธรรมแห่งสากล?</w:t>
      </w:r>
    </w:p>
    <w:p w14:paraId="79DE5E14" w14:textId="77777777" w:rsidR="002D603A" w:rsidRPr="00E276F8" w:rsidRDefault="002D603A" w:rsidP="00E276F8">
      <w:pPr>
        <w:ind w:left="1440"/>
        <w:rPr>
          <w:color w:val="000000" w:themeColor="text1"/>
        </w:rPr>
      </w:pPr>
    </w:p>
    <w:p w14:paraId="62CC1DD3" w14:textId="77777777" w:rsidR="002D603A" w:rsidRPr="00E276F8" w:rsidRDefault="002D603A" w:rsidP="00E276F8">
      <w:pPr>
        <w:numPr>
          <w:ilvl w:val="0"/>
          <w:numId w:val="5"/>
        </w:numPr>
        <w:rPr>
          <w:color w:val="000000" w:themeColor="text1"/>
        </w:rPr>
      </w:pPr>
      <w:r w:rsidRPr="00E276F8">
        <w:rPr>
          <w:color w:val="000000" w:themeColor="text1"/>
          <w:lang w:val="en-US"/>
        </w:rPr>
        <w:t xml:space="preserve">What experiences have you had with having “doors” opening or “doors” staying closed? </w:t>
      </w:r>
    </w:p>
    <w:p w14:paraId="4BA10B88" w14:textId="77777777" w:rsidR="002D603A" w:rsidRPr="00E276F8" w:rsidRDefault="002D603A" w:rsidP="00E276F8">
      <w:pPr>
        <w:ind w:left="720"/>
        <w:rPr>
          <w:color w:val="000000" w:themeColor="text1"/>
        </w:rPr>
      </w:pPr>
      <w:r w:rsidRPr="00E276F8">
        <w:rPr>
          <w:rFonts w:hint="cs"/>
          <w:color w:val="000000" w:themeColor="text1"/>
          <w:cs/>
          <w:lang w:val="en-US"/>
        </w:rPr>
        <w:t>คุณมีประสบการณ์ด้านใดมาแล้วบ้างเกี่ยวกับ “ ประตู” ที่กำลังเปิดรับ หรือ “ประตู” ที่ยังปิดอยู?</w:t>
      </w:r>
    </w:p>
    <w:p w14:paraId="7C443F1D" w14:textId="77777777" w:rsidR="002D603A" w:rsidRPr="00E276F8" w:rsidRDefault="002D603A" w:rsidP="002D603A">
      <w:pPr>
        <w:pStyle w:val="ListParagraph"/>
        <w:rPr>
          <w:color w:val="000000" w:themeColor="text1"/>
          <w:lang w:val="en-US"/>
        </w:rPr>
      </w:pPr>
    </w:p>
    <w:p w14:paraId="61362C27" w14:textId="77777777" w:rsidR="002D603A" w:rsidRPr="001F323C" w:rsidRDefault="002D603A" w:rsidP="002D603A">
      <w:pPr>
        <w:rPr>
          <w:color w:val="FF0000"/>
          <w:lang w:val="en-US"/>
        </w:rPr>
      </w:pPr>
      <w:r w:rsidRPr="001F323C">
        <w:rPr>
          <w:color w:val="FF0000"/>
          <w:lang w:val="en-US"/>
        </w:rPr>
        <w:br w:type="page"/>
      </w:r>
    </w:p>
    <w:p w14:paraId="7712173A" w14:textId="63578BD8" w:rsidR="002B1973" w:rsidRDefault="002B1973" w:rsidP="002F0F49">
      <w:pPr>
        <w:ind w:left="0"/>
        <w:jc w:val="center"/>
        <w:rPr>
          <w:b/>
          <w:bCs/>
          <w:i/>
          <w:iCs/>
          <w:sz w:val="32"/>
          <w:szCs w:val="32"/>
          <w:lang w:val="en-US"/>
        </w:rPr>
      </w:pPr>
      <w:r>
        <w:rPr>
          <w:b/>
          <w:bCs/>
          <w:i/>
          <w:iCs/>
          <w:sz w:val="32"/>
          <w:szCs w:val="32"/>
          <w:lang w:val="en-US"/>
        </w:rPr>
        <w:lastRenderedPageBreak/>
        <w:t>Decision Making:</w:t>
      </w:r>
    </w:p>
    <w:p w14:paraId="5AF6A0E3" w14:textId="70F1608E" w:rsidR="002F0F49" w:rsidRPr="002F0F49" w:rsidRDefault="002F0F49" w:rsidP="002F0F49">
      <w:pPr>
        <w:ind w:left="0"/>
        <w:jc w:val="center"/>
        <w:rPr>
          <w:sz w:val="32"/>
          <w:szCs w:val="32"/>
        </w:rPr>
      </w:pPr>
      <w:r w:rsidRPr="002F0F49">
        <w:rPr>
          <w:b/>
          <w:bCs/>
          <w:i/>
          <w:iCs/>
          <w:sz w:val="32"/>
          <w:szCs w:val="32"/>
          <w:lang w:val="en-US"/>
        </w:rPr>
        <w:t>F</w:t>
      </w:r>
      <w:r w:rsidRPr="002F0F49">
        <w:rPr>
          <w:b/>
          <w:bCs/>
          <w:i/>
          <w:iCs/>
          <w:sz w:val="32"/>
          <w:szCs w:val="32"/>
        </w:rPr>
        <w:t xml:space="preserve">our </w:t>
      </w:r>
      <w:r w:rsidR="00276C18">
        <w:rPr>
          <w:b/>
          <w:bCs/>
          <w:i/>
          <w:iCs/>
          <w:sz w:val="32"/>
          <w:szCs w:val="32"/>
          <w:lang w:val="en-US"/>
        </w:rPr>
        <w:t>W</w:t>
      </w:r>
      <w:r w:rsidRPr="002F0F49">
        <w:rPr>
          <w:b/>
          <w:bCs/>
          <w:i/>
          <w:iCs/>
          <w:sz w:val="32"/>
          <w:szCs w:val="32"/>
        </w:rPr>
        <w:t xml:space="preserve">ays of </w:t>
      </w:r>
      <w:r w:rsidR="00276C18">
        <w:rPr>
          <w:b/>
          <w:bCs/>
          <w:i/>
          <w:iCs/>
          <w:sz w:val="32"/>
          <w:szCs w:val="32"/>
          <w:lang w:val="en-US"/>
        </w:rPr>
        <w:t>R</w:t>
      </w:r>
      <w:r w:rsidRPr="002F0F49">
        <w:rPr>
          <w:b/>
          <w:bCs/>
          <w:i/>
          <w:iCs/>
          <w:sz w:val="32"/>
          <w:szCs w:val="32"/>
        </w:rPr>
        <w:t xml:space="preserve">eceiving </w:t>
      </w:r>
      <w:r w:rsidR="00276C18">
        <w:rPr>
          <w:b/>
          <w:bCs/>
          <w:i/>
          <w:iCs/>
          <w:sz w:val="32"/>
          <w:szCs w:val="32"/>
          <w:lang w:val="en-US"/>
        </w:rPr>
        <w:t>G</w:t>
      </w:r>
      <w:r w:rsidRPr="002F0F49">
        <w:rPr>
          <w:b/>
          <w:bCs/>
          <w:i/>
          <w:iCs/>
          <w:sz w:val="32"/>
          <w:szCs w:val="32"/>
        </w:rPr>
        <w:t>uidance</w:t>
      </w:r>
    </w:p>
    <w:p w14:paraId="42870EA3" w14:textId="77777777" w:rsidR="002F0F49" w:rsidRPr="002F0F49" w:rsidRDefault="002F0F49" w:rsidP="002F0F49">
      <w:pPr>
        <w:ind w:left="0"/>
      </w:pPr>
      <w:r w:rsidRPr="002F0F49">
        <w:rPr>
          <w:b/>
          <w:bCs/>
        </w:rPr>
        <w:t> </w:t>
      </w:r>
    </w:p>
    <w:p w14:paraId="52496BD0" w14:textId="77777777" w:rsidR="002F0F49" w:rsidRPr="002F0F49" w:rsidRDefault="002F0F49" w:rsidP="002F0F49">
      <w:pPr>
        <w:ind w:left="0"/>
      </w:pPr>
      <w:r w:rsidRPr="002F0F49">
        <w:t xml:space="preserve">“Your desire to follow the Will of God in all things in your life is highly praiseworthy and will, indeed, as you have experienced, bring spiritual confirmations. However, the House of Justice stresses that the avenue by which one receives guidance is not confined to inspiration, which can, in fact, be highly misleading. </w:t>
      </w:r>
    </w:p>
    <w:p w14:paraId="65B9FA47" w14:textId="77777777" w:rsidR="002F0F49" w:rsidRPr="002F0F49" w:rsidRDefault="002F0F49" w:rsidP="002F0F49">
      <w:pPr>
        <w:ind w:left="0"/>
      </w:pPr>
      <w:r w:rsidRPr="002F0F49">
        <w:t> </w:t>
      </w:r>
    </w:p>
    <w:p w14:paraId="2AC36F54" w14:textId="77777777" w:rsidR="002F0F49" w:rsidRPr="002F0F49" w:rsidRDefault="002F0F49" w:rsidP="002F0F49">
      <w:pPr>
        <w:ind w:left="0"/>
      </w:pPr>
      <w:r w:rsidRPr="002F0F49">
        <w:t xml:space="preserve">“God has endowed human beings with more than one way of receiving guidance in the decisions we have to make, as ‘Abdu’l-Bahá has explained. There are the </w:t>
      </w:r>
      <w:r w:rsidRPr="00777886">
        <w:rPr>
          <w:b/>
          <w:bCs/>
        </w:rPr>
        <w:t>Holy Writings</w:t>
      </w:r>
      <w:r w:rsidRPr="002F0F49">
        <w:t xml:space="preserve">, in which are clear directions for the way in which we should live; if an inner voice prompts us to act contrary to the explicit teachings we can be sure that, far from being an inspiration from God, that inner voice is the expression of our own lower nature, and should be disregarded. There is also the gift of intelligence and good judgement—the faculty which distinguishes man from the animal kingdom; God intends us to use this faculty, which can be a powerful instrument for distinguishing between true inspirations and vain </w:t>
      </w:r>
      <w:r w:rsidRPr="00777886">
        <w:t xml:space="preserve">imaginings. There is the </w:t>
      </w:r>
      <w:r w:rsidRPr="00777886">
        <w:rPr>
          <w:b/>
          <w:bCs/>
        </w:rPr>
        <w:t>power of prayer</w:t>
      </w:r>
      <w:r w:rsidRPr="002F0F49">
        <w:t xml:space="preserve"> through which we strive to purify our motives, to seek the Will of God and to implore His guidance and assistance. There is also the law of consultation, one of the distinguishing features of this great Revelation. </w:t>
      </w:r>
      <w:r w:rsidRPr="00777886">
        <w:rPr>
          <w:b/>
          <w:bCs/>
        </w:rPr>
        <w:t xml:space="preserve">Consultation </w:t>
      </w:r>
      <w:r w:rsidRPr="00777886">
        <w:t>is t</w:t>
      </w:r>
      <w:r w:rsidRPr="002F0F49">
        <w:t xml:space="preserve">o be used not only in the functioning of the Administrative Order, but is also available for the individual in solving his own problems; </w:t>
      </w:r>
      <w:r w:rsidRPr="00777886">
        <w:rPr>
          <w:b/>
          <w:bCs/>
        </w:rPr>
        <w:t>he may consult with his Assembly, with his family and with his friends</w:t>
      </w:r>
      <w:r w:rsidRPr="002F0F49">
        <w:t xml:space="preserve">. </w:t>
      </w:r>
    </w:p>
    <w:p w14:paraId="2692B4D2" w14:textId="77777777" w:rsidR="002F0F49" w:rsidRPr="002F0F49" w:rsidRDefault="002F0F49" w:rsidP="002F0F49">
      <w:pPr>
        <w:ind w:left="0"/>
      </w:pPr>
      <w:r w:rsidRPr="002F0F49">
        <w:t> </w:t>
      </w:r>
    </w:p>
    <w:p w14:paraId="0115E9CA" w14:textId="77777777" w:rsidR="00276C18" w:rsidRDefault="002F0F49" w:rsidP="002F0F49">
      <w:pPr>
        <w:ind w:left="0"/>
      </w:pPr>
      <w:r w:rsidRPr="00777886">
        <w:t>“Thus, in solving the problems which</w:t>
      </w:r>
      <w:r w:rsidRPr="002F0F49">
        <w:t xml:space="preserve"> now confront you, the House of Justice urges you to worry less about the desirability of following what you perceive to be inspiration, and to bring to bear the other methods that God has given for the solution of difficulties. It suggests that you consult your Spiritual Assembly or an Auxiliary Board member or, if you have close friends whose judgement you respect, consult with them and pay careful attention to their advice....”  </w:t>
      </w:r>
    </w:p>
    <w:p w14:paraId="35FB9351" w14:textId="77777777" w:rsidR="00276C18" w:rsidRDefault="00276C18" w:rsidP="002F0F49">
      <w:pPr>
        <w:ind w:left="0"/>
      </w:pPr>
    </w:p>
    <w:p w14:paraId="652FA4D1" w14:textId="4CE4A918" w:rsidR="002F0F49" w:rsidRPr="002F0F49" w:rsidRDefault="002F0F49" w:rsidP="00276C18">
      <w:pPr>
        <w:pStyle w:val="ListParagraph"/>
        <w:numPr>
          <w:ilvl w:val="0"/>
          <w:numId w:val="1"/>
        </w:numPr>
      </w:pPr>
      <w:r w:rsidRPr="002F0F49">
        <w:t>From a letter dated 29 November 1982 written on behalf of the Universal House of Justice to an individual believer</w:t>
      </w:r>
    </w:p>
    <w:p w14:paraId="6FD2DF88" w14:textId="77777777" w:rsidR="002F0F49" w:rsidRPr="002F0F49" w:rsidRDefault="002F0F49" w:rsidP="002F0F49">
      <w:pPr>
        <w:ind w:left="0"/>
      </w:pPr>
      <w:r w:rsidRPr="002F0F49">
        <w:rPr>
          <w:b/>
          <w:bCs/>
          <w:lang w:val="en-US"/>
        </w:rPr>
        <w:t> </w:t>
      </w:r>
    </w:p>
    <w:p w14:paraId="22010097" w14:textId="0B44F7B3" w:rsidR="009C385A" w:rsidRPr="002E02AF" w:rsidRDefault="002E02AF" w:rsidP="002F0F49">
      <w:pPr>
        <w:ind w:left="0"/>
        <w:rPr>
          <w:b/>
          <w:bCs/>
          <w:lang w:val="en-US"/>
        </w:rPr>
      </w:pPr>
      <w:r w:rsidRPr="002E02AF">
        <w:rPr>
          <w:b/>
          <w:bCs/>
          <w:lang w:val="en-US"/>
        </w:rPr>
        <w:t>Discussion Questions:</w:t>
      </w:r>
    </w:p>
    <w:p w14:paraId="6FDF43E6" w14:textId="77777777" w:rsidR="002E02AF" w:rsidRDefault="002E02AF" w:rsidP="002F0F49">
      <w:pPr>
        <w:ind w:left="0"/>
        <w:rPr>
          <w:lang w:val="en-US"/>
        </w:rPr>
      </w:pPr>
    </w:p>
    <w:p w14:paraId="05FFE3ED" w14:textId="77777777" w:rsidR="002E02AF" w:rsidRPr="002E02AF" w:rsidRDefault="002E02AF" w:rsidP="00E276F8">
      <w:pPr>
        <w:numPr>
          <w:ilvl w:val="0"/>
          <w:numId w:val="4"/>
        </w:numPr>
      </w:pPr>
      <w:r w:rsidRPr="002E02AF">
        <w:rPr>
          <w:lang w:val="en-US"/>
        </w:rPr>
        <w:t>What thoughts do you have on this guidance on making decisions?</w:t>
      </w:r>
    </w:p>
    <w:p w14:paraId="44D7A6C8" w14:textId="77777777" w:rsidR="002E02AF" w:rsidRPr="002E02AF" w:rsidRDefault="002E02AF" w:rsidP="00E276F8">
      <w:pPr>
        <w:numPr>
          <w:ilvl w:val="0"/>
          <w:numId w:val="4"/>
        </w:numPr>
      </w:pPr>
      <w:r w:rsidRPr="002E02AF">
        <w:rPr>
          <w:lang w:val="en-US"/>
        </w:rPr>
        <w:t xml:space="preserve">What are some key decision points in a relationship? What decisions are needed to move towards considering marriage? </w:t>
      </w:r>
    </w:p>
    <w:p w14:paraId="20261C87" w14:textId="77777777" w:rsidR="002E02AF" w:rsidRPr="002E02AF" w:rsidRDefault="002E02AF" w:rsidP="00E276F8">
      <w:pPr>
        <w:numPr>
          <w:ilvl w:val="0"/>
          <w:numId w:val="4"/>
        </w:numPr>
      </w:pPr>
      <w:r w:rsidRPr="002E02AF">
        <w:rPr>
          <w:lang w:val="en-US"/>
        </w:rPr>
        <w:t>What is your experience with the “four ways of receiving guidance” (decision making methods) shared by the Universal House of Justice?</w:t>
      </w:r>
    </w:p>
    <w:p w14:paraId="712120A9" w14:textId="77777777" w:rsidR="002E02AF" w:rsidRPr="002E02AF" w:rsidRDefault="002E02AF" w:rsidP="00E276F8">
      <w:pPr>
        <w:numPr>
          <w:ilvl w:val="0"/>
          <w:numId w:val="4"/>
        </w:numPr>
      </w:pPr>
      <w:r w:rsidRPr="002E02AF">
        <w:rPr>
          <w:lang w:val="en-US"/>
        </w:rPr>
        <w:t xml:space="preserve">What experiences have you had with having “doors” opening or “doors” staying closed? </w:t>
      </w:r>
    </w:p>
    <w:p w14:paraId="600E304D" w14:textId="77777777" w:rsidR="002E02AF" w:rsidRPr="002E02AF" w:rsidRDefault="002E02AF" w:rsidP="002F0F49">
      <w:pPr>
        <w:ind w:left="0"/>
        <w:rPr>
          <w:lang w:val="en-US"/>
        </w:rPr>
      </w:pPr>
    </w:p>
    <w:sectPr w:rsidR="002E02AF" w:rsidRPr="002E02AF" w:rsidSect="00E276F8">
      <w:footerReference w:type="even" r:id="rId8"/>
      <w:footerReference w:type="default" r:id="rId9"/>
      <w:pgSz w:w="11901" w:h="16817"/>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6DFD0" w14:textId="77777777" w:rsidR="00D80B1C" w:rsidRDefault="00D80B1C" w:rsidP="002D603A">
      <w:r>
        <w:separator/>
      </w:r>
    </w:p>
  </w:endnote>
  <w:endnote w:type="continuationSeparator" w:id="0">
    <w:p w14:paraId="4D64E5AC" w14:textId="77777777" w:rsidR="00D80B1C" w:rsidRDefault="00D80B1C" w:rsidP="002D6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6235531"/>
      <w:docPartObj>
        <w:docPartGallery w:val="Page Numbers (Bottom of Page)"/>
        <w:docPartUnique/>
      </w:docPartObj>
    </w:sdtPr>
    <w:sdtContent>
      <w:p w14:paraId="634B9456" w14:textId="78FDDBA7" w:rsidR="002D603A" w:rsidRDefault="002D603A" w:rsidP="00502F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44ED2D" w14:textId="77777777" w:rsidR="002D603A" w:rsidRDefault="002D603A" w:rsidP="002D60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7166757"/>
      <w:docPartObj>
        <w:docPartGallery w:val="Page Numbers (Bottom of Page)"/>
        <w:docPartUnique/>
      </w:docPartObj>
    </w:sdtPr>
    <w:sdtContent>
      <w:p w14:paraId="439286E5" w14:textId="1D9CFD5A" w:rsidR="002D603A" w:rsidRDefault="002D603A" w:rsidP="00502F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2FC483" w14:textId="77777777" w:rsidR="002D603A" w:rsidRDefault="002D603A" w:rsidP="002D60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E96F5" w14:textId="77777777" w:rsidR="00D80B1C" w:rsidRDefault="00D80B1C" w:rsidP="002D603A">
      <w:r>
        <w:separator/>
      </w:r>
    </w:p>
  </w:footnote>
  <w:footnote w:type="continuationSeparator" w:id="0">
    <w:p w14:paraId="79CA0A04" w14:textId="77777777" w:rsidR="00D80B1C" w:rsidRDefault="00D80B1C" w:rsidP="002D603A">
      <w:r>
        <w:continuationSeparator/>
      </w:r>
    </w:p>
  </w:footnote>
  <w:footnote w:id="1">
    <w:p w14:paraId="726F3816" w14:textId="656FA0E0" w:rsidR="00E276F8" w:rsidRPr="00E276F8" w:rsidRDefault="00E276F8">
      <w:pPr>
        <w:pStyle w:val="FootnoteText"/>
        <w:rPr>
          <w:lang w:val="en-US"/>
        </w:rPr>
      </w:pPr>
      <w:r>
        <w:rPr>
          <w:rStyle w:val="FootnoteReference"/>
        </w:rPr>
        <w:footnoteRef/>
      </w:r>
      <w:r>
        <w:t xml:space="preserve"> </w:t>
      </w:r>
      <w:r>
        <w:rPr>
          <w:lang w:val="en-US"/>
        </w:rPr>
        <w:t>Provisional translation by Sunantha Smith, March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C25"/>
    <w:multiLevelType w:val="hybridMultilevel"/>
    <w:tmpl w:val="D096B922"/>
    <w:lvl w:ilvl="0" w:tplc="0409000F">
      <w:start w:val="1"/>
      <w:numFmt w:val="decimal"/>
      <w:lvlText w:val="%1."/>
      <w:lvlJc w:val="left"/>
      <w:pPr>
        <w:ind w:left="720" w:hanging="360"/>
      </w:pPr>
      <w:rPr>
        <w:rFonts w:hint="default"/>
      </w:rPr>
    </w:lvl>
    <w:lvl w:ilvl="1" w:tplc="FFFFFFFF" w:tentative="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3D83288"/>
    <w:multiLevelType w:val="hybridMultilevel"/>
    <w:tmpl w:val="174C3992"/>
    <w:lvl w:ilvl="0" w:tplc="BD8C30D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34658"/>
    <w:multiLevelType w:val="hybridMultilevel"/>
    <w:tmpl w:val="B9C66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B16D23"/>
    <w:multiLevelType w:val="hybridMultilevel"/>
    <w:tmpl w:val="5286495A"/>
    <w:lvl w:ilvl="0" w:tplc="76B0D20E">
      <w:start w:val="1"/>
      <w:numFmt w:val="bullet"/>
      <w:lvlText w:val=""/>
      <w:lvlJc w:val="left"/>
      <w:pPr>
        <w:tabs>
          <w:tab w:val="num" w:pos="720"/>
        </w:tabs>
        <w:ind w:left="720" w:hanging="360"/>
      </w:pPr>
      <w:rPr>
        <w:rFonts w:ascii="Symbol" w:hAnsi="Symbol" w:hint="default"/>
      </w:rPr>
    </w:lvl>
    <w:lvl w:ilvl="1" w:tplc="EE62ADAE" w:tentative="1">
      <w:start w:val="1"/>
      <w:numFmt w:val="bullet"/>
      <w:lvlText w:val=""/>
      <w:lvlJc w:val="left"/>
      <w:pPr>
        <w:tabs>
          <w:tab w:val="num" w:pos="1440"/>
        </w:tabs>
        <w:ind w:left="1440" w:hanging="360"/>
      </w:pPr>
      <w:rPr>
        <w:rFonts w:ascii="Symbol" w:hAnsi="Symbol" w:hint="default"/>
      </w:rPr>
    </w:lvl>
    <w:lvl w:ilvl="2" w:tplc="8ED87B56" w:tentative="1">
      <w:start w:val="1"/>
      <w:numFmt w:val="bullet"/>
      <w:lvlText w:val=""/>
      <w:lvlJc w:val="left"/>
      <w:pPr>
        <w:tabs>
          <w:tab w:val="num" w:pos="2160"/>
        </w:tabs>
        <w:ind w:left="2160" w:hanging="360"/>
      </w:pPr>
      <w:rPr>
        <w:rFonts w:ascii="Symbol" w:hAnsi="Symbol" w:hint="default"/>
      </w:rPr>
    </w:lvl>
    <w:lvl w:ilvl="3" w:tplc="F028C4BA" w:tentative="1">
      <w:start w:val="1"/>
      <w:numFmt w:val="bullet"/>
      <w:lvlText w:val=""/>
      <w:lvlJc w:val="left"/>
      <w:pPr>
        <w:tabs>
          <w:tab w:val="num" w:pos="2880"/>
        </w:tabs>
        <w:ind w:left="2880" w:hanging="360"/>
      </w:pPr>
      <w:rPr>
        <w:rFonts w:ascii="Symbol" w:hAnsi="Symbol" w:hint="default"/>
      </w:rPr>
    </w:lvl>
    <w:lvl w:ilvl="4" w:tplc="856E5B6A" w:tentative="1">
      <w:start w:val="1"/>
      <w:numFmt w:val="bullet"/>
      <w:lvlText w:val=""/>
      <w:lvlJc w:val="left"/>
      <w:pPr>
        <w:tabs>
          <w:tab w:val="num" w:pos="3600"/>
        </w:tabs>
        <w:ind w:left="3600" w:hanging="360"/>
      </w:pPr>
      <w:rPr>
        <w:rFonts w:ascii="Symbol" w:hAnsi="Symbol" w:hint="default"/>
      </w:rPr>
    </w:lvl>
    <w:lvl w:ilvl="5" w:tplc="73561A22" w:tentative="1">
      <w:start w:val="1"/>
      <w:numFmt w:val="bullet"/>
      <w:lvlText w:val=""/>
      <w:lvlJc w:val="left"/>
      <w:pPr>
        <w:tabs>
          <w:tab w:val="num" w:pos="4320"/>
        </w:tabs>
        <w:ind w:left="4320" w:hanging="360"/>
      </w:pPr>
      <w:rPr>
        <w:rFonts w:ascii="Symbol" w:hAnsi="Symbol" w:hint="default"/>
      </w:rPr>
    </w:lvl>
    <w:lvl w:ilvl="6" w:tplc="E60E4CC6" w:tentative="1">
      <w:start w:val="1"/>
      <w:numFmt w:val="bullet"/>
      <w:lvlText w:val=""/>
      <w:lvlJc w:val="left"/>
      <w:pPr>
        <w:tabs>
          <w:tab w:val="num" w:pos="5040"/>
        </w:tabs>
        <w:ind w:left="5040" w:hanging="360"/>
      </w:pPr>
      <w:rPr>
        <w:rFonts w:ascii="Symbol" w:hAnsi="Symbol" w:hint="default"/>
      </w:rPr>
    </w:lvl>
    <w:lvl w:ilvl="7" w:tplc="C2166114" w:tentative="1">
      <w:start w:val="1"/>
      <w:numFmt w:val="bullet"/>
      <w:lvlText w:val=""/>
      <w:lvlJc w:val="left"/>
      <w:pPr>
        <w:tabs>
          <w:tab w:val="num" w:pos="5760"/>
        </w:tabs>
        <w:ind w:left="5760" w:hanging="360"/>
      </w:pPr>
      <w:rPr>
        <w:rFonts w:ascii="Symbol" w:hAnsi="Symbol" w:hint="default"/>
      </w:rPr>
    </w:lvl>
    <w:lvl w:ilvl="8" w:tplc="A7C00C3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3C036A5"/>
    <w:multiLevelType w:val="hybridMultilevel"/>
    <w:tmpl w:val="C5C6B530"/>
    <w:lvl w:ilvl="0" w:tplc="45F4FB78">
      <w:start w:val="3"/>
      <w:numFmt w:val="bullet"/>
      <w:lvlText w:val="-"/>
      <w:lvlJc w:val="left"/>
      <w:pPr>
        <w:ind w:left="720" w:hanging="360"/>
      </w:pPr>
      <w:rPr>
        <w:rFonts w:ascii="Cordia New" w:eastAsiaTheme="minorHAnsi" w:hAnsi="Cordia New"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3926737">
    <w:abstractNumId w:val="1"/>
  </w:num>
  <w:num w:numId="2" w16cid:durableId="916281262">
    <w:abstractNumId w:val="3"/>
  </w:num>
  <w:num w:numId="3" w16cid:durableId="1473668318">
    <w:abstractNumId w:val="4"/>
  </w:num>
  <w:num w:numId="4" w16cid:durableId="1583248574">
    <w:abstractNumId w:val="0"/>
  </w:num>
  <w:num w:numId="5" w16cid:durableId="14866264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F49"/>
    <w:rsid w:val="000714A2"/>
    <w:rsid w:val="000A4399"/>
    <w:rsid w:val="00276C18"/>
    <w:rsid w:val="002B1973"/>
    <w:rsid w:val="002D603A"/>
    <w:rsid w:val="002E02AF"/>
    <w:rsid w:val="002E528A"/>
    <w:rsid w:val="002F0F49"/>
    <w:rsid w:val="00393982"/>
    <w:rsid w:val="003D7C39"/>
    <w:rsid w:val="003F0553"/>
    <w:rsid w:val="005A2E5D"/>
    <w:rsid w:val="0067755F"/>
    <w:rsid w:val="00686977"/>
    <w:rsid w:val="00777886"/>
    <w:rsid w:val="00804D73"/>
    <w:rsid w:val="00841203"/>
    <w:rsid w:val="008B7BCE"/>
    <w:rsid w:val="009C385A"/>
    <w:rsid w:val="00A16B4C"/>
    <w:rsid w:val="00A86168"/>
    <w:rsid w:val="00A9229B"/>
    <w:rsid w:val="00B24E2D"/>
    <w:rsid w:val="00BE7A25"/>
    <w:rsid w:val="00C14EA6"/>
    <w:rsid w:val="00C32D0A"/>
    <w:rsid w:val="00C42797"/>
    <w:rsid w:val="00D204F2"/>
    <w:rsid w:val="00D25F23"/>
    <w:rsid w:val="00D80B1C"/>
    <w:rsid w:val="00E276F8"/>
    <w:rsid w:val="00E85DD8"/>
    <w:rsid w:val="00F522E4"/>
    <w:rsid w:val="00F5601D"/>
  </w:rsids>
  <m:mathPr>
    <m:mathFont m:val="Cambria Math"/>
    <m:brkBin m:val="before"/>
    <m:brkBinSub m:val="--"/>
    <m:smallFrac m:val="0"/>
    <m:dispDef/>
    <m:lMargin m:val="0"/>
    <m:rMargin m:val="0"/>
    <m:defJc m:val="centerGroup"/>
    <m:wrapIndent m:val="1440"/>
    <m:intLim m:val="subSup"/>
    <m:naryLim m:val="undOvr"/>
  </m:mathPr>
  <w:themeFontLang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8FCE2"/>
  <w15:chartTrackingRefBased/>
  <w15:docId w15:val="{41F273F0-0032-A649-861E-D3FB013A9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eastAsia="en-US" w:bidi="th-TH"/>
      </w:rPr>
    </w:rPrDefault>
    <w:pPrDefault>
      <w:pPr>
        <w:ind w:left="1202" w:right="-13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C18"/>
    <w:pPr>
      <w:ind w:left="720"/>
      <w:contextualSpacing/>
    </w:pPr>
  </w:style>
  <w:style w:type="paragraph" w:customStyle="1" w:styleId="Titles-Subhead">
    <w:name w:val="Titles - Subhead"/>
    <w:basedOn w:val="Normal"/>
    <w:uiPriority w:val="99"/>
    <w:rsid w:val="002E528A"/>
    <w:pPr>
      <w:suppressAutoHyphens/>
      <w:autoSpaceDE w:val="0"/>
      <w:autoSpaceDN w:val="0"/>
      <w:adjustRightInd w:val="0"/>
      <w:spacing w:line="288" w:lineRule="auto"/>
      <w:ind w:left="0" w:right="0"/>
      <w:jc w:val="center"/>
      <w:textAlignment w:val="center"/>
    </w:pPr>
    <w:rPr>
      <w:rFonts w:ascii="Arial" w:hAnsi="Arial" w:cs="Arial"/>
      <w:b/>
      <w:bCs/>
      <w:color w:val="000000"/>
      <w:sz w:val="26"/>
      <w:szCs w:val="26"/>
      <w:lang w:val="en-US" w:bidi="ar-SA"/>
    </w:rPr>
  </w:style>
  <w:style w:type="paragraph" w:styleId="Footer">
    <w:name w:val="footer"/>
    <w:basedOn w:val="Normal"/>
    <w:link w:val="FooterChar"/>
    <w:uiPriority w:val="99"/>
    <w:unhideWhenUsed/>
    <w:rsid w:val="002D603A"/>
    <w:pPr>
      <w:tabs>
        <w:tab w:val="center" w:pos="4680"/>
        <w:tab w:val="right" w:pos="9360"/>
      </w:tabs>
    </w:pPr>
  </w:style>
  <w:style w:type="character" w:customStyle="1" w:styleId="FooterChar">
    <w:name w:val="Footer Char"/>
    <w:basedOn w:val="DefaultParagraphFont"/>
    <w:link w:val="Footer"/>
    <w:uiPriority w:val="99"/>
    <w:rsid w:val="002D603A"/>
  </w:style>
  <w:style w:type="character" w:styleId="PageNumber">
    <w:name w:val="page number"/>
    <w:basedOn w:val="DefaultParagraphFont"/>
    <w:uiPriority w:val="99"/>
    <w:semiHidden/>
    <w:unhideWhenUsed/>
    <w:rsid w:val="002D603A"/>
  </w:style>
  <w:style w:type="paragraph" w:styleId="FootnoteText">
    <w:name w:val="footnote text"/>
    <w:basedOn w:val="Normal"/>
    <w:link w:val="FootnoteTextChar"/>
    <w:uiPriority w:val="99"/>
    <w:semiHidden/>
    <w:unhideWhenUsed/>
    <w:rsid w:val="00E276F8"/>
    <w:rPr>
      <w:sz w:val="20"/>
      <w:szCs w:val="25"/>
    </w:rPr>
  </w:style>
  <w:style w:type="character" w:customStyle="1" w:styleId="FootnoteTextChar">
    <w:name w:val="Footnote Text Char"/>
    <w:basedOn w:val="DefaultParagraphFont"/>
    <w:link w:val="FootnoteText"/>
    <w:uiPriority w:val="99"/>
    <w:semiHidden/>
    <w:rsid w:val="00E276F8"/>
    <w:rPr>
      <w:sz w:val="20"/>
      <w:szCs w:val="25"/>
    </w:rPr>
  </w:style>
  <w:style w:type="character" w:styleId="FootnoteReference">
    <w:name w:val="footnote reference"/>
    <w:basedOn w:val="DefaultParagraphFont"/>
    <w:uiPriority w:val="99"/>
    <w:semiHidden/>
    <w:unhideWhenUsed/>
    <w:rsid w:val="00E276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136015">
      <w:bodyDiv w:val="1"/>
      <w:marLeft w:val="0"/>
      <w:marRight w:val="0"/>
      <w:marTop w:val="0"/>
      <w:marBottom w:val="0"/>
      <w:divBdr>
        <w:top w:val="none" w:sz="0" w:space="0" w:color="auto"/>
        <w:left w:val="none" w:sz="0" w:space="0" w:color="auto"/>
        <w:bottom w:val="none" w:sz="0" w:space="0" w:color="auto"/>
        <w:right w:val="none" w:sz="0" w:space="0" w:color="auto"/>
      </w:divBdr>
      <w:divsChild>
        <w:div w:id="1274895383">
          <w:marLeft w:val="547"/>
          <w:marRight w:val="0"/>
          <w:marTop w:val="200"/>
          <w:marBottom w:val="0"/>
          <w:divBdr>
            <w:top w:val="none" w:sz="0" w:space="0" w:color="auto"/>
            <w:left w:val="none" w:sz="0" w:space="0" w:color="auto"/>
            <w:bottom w:val="none" w:sz="0" w:space="0" w:color="auto"/>
            <w:right w:val="none" w:sz="0" w:space="0" w:color="auto"/>
          </w:divBdr>
        </w:div>
        <w:div w:id="1434865224">
          <w:marLeft w:val="547"/>
          <w:marRight w:val="0"/>
          <w:marTop w:val="200"/>
          <w:marBottom w:val="0"/>
          <w:divBdr>
            <w:top w:val="none" w:sz="0" w:space="0" w:color="auto"/>
            <w:left w:val="none" w:sz="0" w:space="0" w:color="auto"/>
            <w:bottom w:val="none" w:sz="0" w:space="0" w:color="auto"/>
            <w:right w:val="none" w:sz="0" w:space="0" w:color="auto"/>
          </w:divBdr>
        </w:div>
        <w:div w:id="1896089236">
          <w:marLeft w:val="547"/>
          <w:marRight w:val="0"/>
          <w:marTop w:val="200"/>
          <w:marBottom w:val="0"/>
          <w:divBdr>
            <w:top w:val="none" w:sz="0" w:space="0" w:color="auto"/>
            <w:left w:val="none" w:sz="0" w:space="0" w:color="auto"/>
            <w:bottom w:val="none" w:sz="0" w:space="0" w:color="auto"/>
            <w:right w:val="none" w:sz="0" w:space="0" w:color="auto"/>
          </w:divBdr>
        </w:div>
        <w:div w:id="1238055150">
          <w:marLeft w:val="547"/>
          <w:marRight w:val="0"/>
          <w:marTop w:val="200"/>
          <w:marBottom w:val="0"/>
          <w:divBdr>
            <w:top w:val="none" w:sz="0" w:space="0" w:color="auto"/>
            <w:left w:val="none" w:sz="0" w:space="0" w:color="auto"/>
            <w:bottom w:val="none" w:sz="0" w:space="0" w:color="auto"/>
            <w:right w:val="none" w:sz="0" w:space="0" w:color="auto"/>
          </w:divBdr>
        </w:div>
      </w:divsChild>
    </w:div>
    <w:div w:id="85052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9900D-829A-E745-86A2-6D8E488D5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Schaffter</dc:creator>
  <cp:keywords/>
  <dc:description/>
  <cp:lastModifiedBy>Vaughan Smith</cp:lastModifiedBy>
  <cp:revision>2</cp:revision>
  <dcterms:created xsi:type="dcterms:W3CDTF">2022-08-07T08:39:00Z</dcterms:created>
  <dcterms:modified xsi:type="dcterms:W3CDTF">2022-08-07T08:39:00Z</dcterms:modified>
</cp:coreProperties>
</file>